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DCF13" w14:textId="77777777" w:rsidR="009075B1" w:rsidRDefault="00656C13" w:rsidP="007F129D">
      <w:pPr>
        <w:pStyle w:val="NoSpacing"/>
      </w:pPr>
      <w:r>
        <w:rPr>
          <w:noProof/>
        </w:rPr>
        <w:drawing>
          <wp:inline distT="0" distB="0" distL="0" distR="0" wp14:anchorId="100EA8DF" wp14:editId="1D711B07">
            <wp:extent cx="1982624"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6110" cy="1112416"/>
                    </a:xfrm>
                    <a:prstGeom prst="rect">
                      <a:avLst/>
                    </a:prstGeom>
                    <a:noFill/>
                    <a:ln>
                      <a:noFill/>
                    </a:ln>
                  </pic:spPr>
                </pic:pic>
              </a:graphicData>
            </a:graphic>
          </wp:inline>
        </w:drawing>
      </w:r>
    </w:p>
    <w:p w14:paraId="32DDDFC0" w14:textId="77777777" w:rsidR="00866229" w:rsidRDefault="008F7F88" w:rsidP="007F129D">
      <w:pPr>
        <w:pStyle w:val="NoSpacing"/>
        <w:rPr>
          <w:rFonts w:ascii="Rockwell" w:hAnsi="Rockwell"/>
          <w:sz w:val="18"/>
          <w:szCs w:val="18"/>
        </w:rPr>
      </w:pPr>
      <w:r>
        <w:rPr>
          <w:rFonts w:ascii="Rockwell" w:hAnsi="Rockwell"/>
          <w:sz w:val="18"/>
          <w:szCs w:val="18"/>
        </w:rPr>
        <w:t>560</w:t>
      </w:r>
      <w:r w:rsidR="007F129D">
        <w:rPr>
          <w:rFonts w:ascii="Rockwell" w:hAnsi="Rockwell"/>
          <w:sz w:val="18"/>
          <w:szCs w:val="18"/>
        </w:rPr>
        <w:t xml:space="preserve"> West Main Street</w:t>
      </w:r>
    </w:p>
    <w:p w14:paraId="04DD860C" w14:textId="77777777" w:rsidR="007F129D" w:rsidRPr="007F129D" w:rsidRDefault="007F129D" w:rsidP="007F129D">
      <w:pPr>
        <w:pStyle w:val="NoSpacing"/>
        <w:rPr>
          <w:rFonts w:ascii="Rockwell" w:hAnsi="Rockwell"/>
          <w:sz w:val="18"/>
          <w:szCs w:val="18"/>
        </w:rPr>
      </w:pPr>
      <w:r>
        <w:rPr>
          <w:rFonts w:ascii="Rockwell" w:hAnsi="Rockwell"/>
          <w:sz w:val="18"/>
          <w:szCs w:val="18"/>
        </w:rPr>
        <w:t>Rochester, New York 14608</w:t>
      </w:r>
    </w:p>
    <w:p w14:paraId="416C1DCD" w14:textId="77777777" w:rsidR="007F129D" w:rsidRDefault="00806C17" w:rsidP="00806C17">
      <w:pPr>
        <w:pStyle w:val="NoSpacing"/>
        <w:rPr>
          <w:rFonts w:ascii="Rockwell" w:hAnsi="Rockwell"/>
          <w:sz w:val="18"/>
          <w:szCs w:val="18"/>
        </w:rPr>
      </w:pPr>
      <w:r>
        <w:rPr>
          <w:rFonts w:ascii="Rockwell" w:hAnsi="Rockwell"/>
          <w:sz w:val="18"/>
          <w:szCs w:val="18"/>
        </w:rPr>
        <w:t>585-319-5091</w:t>
      </w:r>
    </w:p>
    <w:p w14:paraId="6BC01816" w14:textId="77777777" w:rsidR="00806C17" w:rsidRPr="00806C17" w:rsidRDefault="00806C17" w:rsidP="00806C17">
      <w:pPr>
        <w:pStyle w:val="NoSpacing"/>
        <w:rPr>
          <w:rFonts w:ascii="Rockwell" w:hAnsi="Rockwell"/>
          <w:sz w:val="18"/>
          <w:szCs w:val="18"/>
        </w:rPr>
      </w:pPr>
    </w:p>
    <w:p w14:paraId="4369034C" w14:textId="5DC494FD" w:rsidR="00C14E27" w:rsidRPr="009D55E9" w:rsidRDefault="00206E5F" w:rsidP="00206E5F">
      <w:pPr>
        <w:pStyle w:val="NoSpacing"/>
        <w:rPr>
          <w:sz w:val="24"/>
          <w:szCs w:val="24"/>
        </w:rPr>
      </w:pPr>
      <w:r w:rsidRPr="009D55E9">
        <w:rPr>
          <w:b/>
          <w:sz w:val="24"/>
          <w:szCs w:val="24"/>
        </w:rPr>
        <w:t>To:</w:t>
      </w:r>
      <w:r w:rsidRPr="009D55E9">
        <w:rPr>
          <w:sz w:val="24"/>
          <w:szCs w:val="24"/>
        </w:rPr>
        <w:tab/>
      </w:r>
      <w:r w:rsidRPr="009D55E9">
        <w:rPr>
          <w:sz w:val="24"/>
          <w:szCs w:val="24"/>
        </w:rPr>
        <w:tab/>
        <w:t xml:space="preserve">All </w:t>
      </w:r>
      <w:proofErr w:type="spellStart"/>
      <w:r w:rsidRPr="009D55E9">
        <w:rPr>
          <w:sz w:val="24"/>
          <w:szCs w:val="24"/>
        </w:rPr>
        <w:t>CoC</w:t>
      </w:r>
      <w:proofErr w:type="spellEnd"/>
      <w:r w:rsidRPr="009D55E9">
        <w:rPr>
          <w:sz w:val="24"/>
          <w:szCs w:val="24"/>
        </w:rPr>
        <w:t xml:space="preserve"> Funded Program Providers</w:t>
      </w:r>
    </w:p>
    <w:p w14:paraId="2EB04577" w14:textId="77777777" w:rsidR="00206E5F" w:rsidRPr="009D55E9" w:rsidRDefault="00206E5F" w:rsidP="00206E5F">
      <w:pPr>
        <w:pStyle w:val="NoSpacing"/>
        <w:rPr>
          <w:sz w:val="24"/>
          <w:szCs w:val="24"/>
        </w:rPr>
      </w:pPr>
      <w:r w:rsidRPr="009D55E9">
        <w:rPr>
          <w:b/>
          <w:sz w:val="24"/>
          <w:szCs w:val="24"/>
        </w:rPr>
        <w:t>From:</w:t>
      </w:r>
      <w:r w:rsidRPr="009D55E9">
        <w:rPr>
          <w:sz w:val="24"/>
          <w:szCs w:val="24"/>
        </w:rPr>
        <w:tab/>
      </w:r>
      <w:r w:rsidRPr="009D55E9">
        <w:rPr>
          <w:sz w:val="24"/>
          <w:szCs w:val="24"/>
        </w:rPr>
        <w:tab/>
      </w:r>
      <w:r w:rsidR="00AC500D">
        <w:rPr>
          <w:sz w:val="24"/>
          <w:szCs w:val="24"/>
        </w:rPr>
        <w:t xml:space="preserve">Partners Ending Homelessness </w:t>
      </w:r>
    </w:p>
    <w:p w14:paraId="3B65AB51" w14:textId="42CC44AD" w:rsidR="00206E5F" w:rsidRPr="009D55E9" w:rsidRDefault="00206E5F" w:rsidP="00206E5F">
      <w:pPr>
        <w:pStyle w:val="NoSpacing"/>
        <w:rPr>
          <w:sz w:val="24"/>
          <w:szCs w:val="24"/>
        </w:rPr>
      </w:pPr>
      <w:r w:rsidRPr="009D55E9">
        <w:rPr>
          <w:b/>
          <w:sz w:val="24"/>
          <w:szCs w:val="24"/>
        </w:rPr>
        <w:t xml:space="preserve">Re:        </w:t>
      </w:r>
      <w:r w:rsidRPr="009D55E9">
        <w:rPr>
          <w:b/>
          <w:sz w:val="24"/>
          <w:szCs w:val="24"/>
        </w:rPr>
        <w:tab/>
      </w:r>
      <w:r w:rsidR="00D50B2E" w:rsidRPr="00D50B2E">
        <w:rPr>
          <w:bCs/>
          <w:sz w:val="24"/>
          <w:szCs w:val="24"/>
        </w:rPr>
        <w:t>Notification Revised Performance Measures</w:t>
      </w:r>
    </w:p>
    <w:p w14:paraId="466A0809" w14:textId="02DB9557" w:rsidR="00206E5F" w:rsidRPr="009D55E9" w:rsidRDefault="00206E5F" w:rsidP="00206E5F">
      <w:pPr>
        <w:pStyle w:val="NoSpacing"/>
        <w:rPr>
          <w:sz w:val="24"/>
          <w:szCs w:val="24"/>
        </w:rPr>
      </w:pPr>
      <w:r w:rsidRPr="009D55E9">
        <w:rPr>
          <w:b/>
          <w:sz w:val="24"/>
          <w:szCs w:val="24"/>
        </w:rPr>
        <w:t>Date:</w:t>
      </w:r>
      <w:r w:rsidR="008F7F88">
        <w:rPr>
          <w:sz w:val="24"/>
          <w:szCs w:val="24"/>
        </w:rPr>
        <w:tab/>
      </w:r>
      <w:r w:rsidR="008F7F88">
        <w:rPr>
          <w:sz w:val="24"/>
          <w:szCs w:val="24"/>
        </w:rPr>
        <w:tab/>
      </w:r>
      <w:r w:rsidR="00D50B2E">
        <w:rPr>
          <w:sz w:val="24"/>
          <w:szCs w:val="24"/>
        </w:rPr>
        <w:t>February</w:t>
      </w:r>
      <w:r w:rsidR="008269AB">
        <w:rPr>
          <w:sz w:val="24"/>
          <w:szCs w:val="24"/>
        </w:rPr>
        <w:t xml:space="preserve"> </w:t>
      </w:r>
      <w:r w:rsidR="00D50B2E">
        <w:rPr>
          <w:sz w:val="24"/>
          <w:szCs w:val="24"/>
        </w:rPr>
        <w:t>16</w:t>
      </w:r>
      <w:r w:rsidR="008269AB">
        <w:rPr>
          <w:sz w:val="24"/>
          <w:szCs w:val="24"/>
        </w:rPr>
        <w:t>,</w:t>
      </w:r>
      <w:r w:rsidR="008F7F88">
        <w:rPr>
          <w:sz w:val="24"/>
          <w:szCs w:val="24"/>
        </w:rPr>
        <w:t xml:space="preserve"> 20</w:t>
      </w:r>
      <w:r w:rsidR="008269AB">
        <w:rPr>
          <w:sz w:val="24"/>
          <w:szCs w:val="24"/>
        </w:rPr>
        <w:t>2</w:t>
      </w:r>
      <w:r w:rsidR="00D50B2E">
        <w:rPr>
          <w:sz w:val="24"/>
          <w:szCs w:val="24"/>
        </w:rPr>
        <w:t>1</w:t>
      </w:r>
    </w:p>
    <w:p w14:paraId="6CC3114A" w14:textId="77777777" w:rsidR="00206E5F" w:rsidRPr="009D55E9" w:rsidRDefault="00B86D09" w:rsidP="00206E5F">
      <w:pPr>
        <w:pStyle w:val="NoSpacing"/>
        <w:rPr>
          <w:b/>
          <w:sz w:val="24"/>
          <w:szCs w:val="24"/>
        </w:rPr>
      </w:pPr>
      <w:r w:rsidRPr="009D55E9">
        <w:rPr>
          <w:b/>
          <w:sz w:val="24"/>
          <w:szCs w:val="24"/>
        </w:rPr>
        <w:t>___________________________________________________________________</w:t>
      </w:r>
    </w:p>
    <w:p w14:paraId="3965C3A0" w14:textId="6738934E" w:rsidR="00FF37C2" w:rsidRDefault="00FF37C2" w:rsidP="002D4D76">
      <w:pPr>
        <w:pStyle w:val="NoSpacing"/>
      </w:pPr>
    </w:p>
    <w:p w14:paraId="198AE20D" w14:textId="77777777" w:rsidR="0096113E" w:rsidRPr="0096113E" w:rsidRDefault="0096113E" w:rsidP="0096113E">
      <w:pPr>
        <w:rPr>
          <w:sz w:val="24"/>
          <w:szCs w:val="24"/>
        </w:rPr>
      </w:pPr>
      <w:r w:rsidRPr="0096113E">
        <w:rPr>
          <w:sz w:val="24"/>
          <w:szCs w:val="24"/>
        </w:rPr>
        <w:t xml:space="preserve">After reviewing the community outcomes for the past year in preparation for the 2021 Local Application process, we can see that some of the community goals need to be adjusted to be more in line with excellent work projects have been achieving.  These changes are taking place to continue our performance growth in a positive direction and keep pace with the competitive nature of HUD </w:t>
      </w:r>
      <w:proofErr w:type="spellStart"/>
      <w:r w:rsidRPr="0096113E">
        <w:rPr>
          <w:sz w:val="24"/>
          <w:szCs w:val="24"/>
        </w:rPr>
        <w:t>CoC</w:t>
      </w:r>
      <w:proofErr w:type="spellEnd"/>
      <w:r w:rsidRPr="0096113E">
        <w:rPr>
          <w:sz w:val="24"/>
          <w:szCs w:val="24"/>
        </w:rPr>
        <w:t xml:space="preserve"> funding.</w:t>
      </w:r>
    </w:p>
    <w:p w14:paraId="000EC05B" w14:textId="77777777" w:rsidR="0096113E" w:rsidRPr="0096113E" w:rsidRDefault="0096113E" w:rsidP="0096113E">
      <w:pPr>
        <w:pStyle w:val="ListParagraph"/>
        <w:numPr>
          <w:ilvl w:val="0"/>
          <w:numId w:val="14"/>
        </w:numPr>
        <w:rPr>
          <w:sz w:val="24"/>
          <w:szCs w:val="24"/>
        </w:rPr>
      </w:pPr>
      <w:r w:rsidRPr="0096113E">
        <w:rPr>
          <w:sz w:val="24"/>
          <w:szCs w:val="24"/>
        </w:rPr>
        <w:t xml:space="preserve">Participants who have cash income will go up from 54% to 85%. On average, all </w:t>
      </w:r>
      <w:proofErr w:type="spellStart"/>
      <w:r w:rsidRPr="0096113E">
        <w:rPr>
          <w:sz w:val="24"/>
          <w:szCs w:val="24"/>
        </w:rPr>
        <w:t>CoC's</w:t>
      </w:r>
      <w:proofErr w:type="spellEnd"/>
      <w:r w:rsidRPr="0096113E">
        <w:rPr>
          <w:sz w:val="24"/>
          <w:szCs w:val="24"/>
        </w:rPr>
        <w:t xml:space="preserve"> project scores an 83% from 2/1/2020 to 1/31/2021.</w:t>
      </w:r>
    </w:p>
    <w:p w14:paraId="50F60171" w14:textId="77777777" w:rsidR="0096113E" w:rsidRPr="0096113E" w:rsidRDefault="0096113E" w:rsidP="0096113E">
      <w:pPr>
        <w:pStyle w:val="ListParagraph"/>
        <w:numPr>
          <w:ilvl w:val="0"/>
          <w:numId w:val="14"/>
        </w:numPr>
        <w:rPr>
          <w:sz w:val="24"/>
          <w:szCs w:val="24"/>
        </w:rPr>
      </w:pPr>
      <w:r w:rsidRPr="0096113E">
        <w:rPr>
          <w:sz w:val="24"/>
          <w:szCs w:val="24"/>
        </w:rPr>
        <w:t xml:space="preserve">Participants with no income will decrease from below 20% to below 15%. On average, all </w:t>
      </w:r>
      <w:proofErr w:type="spellStart"/>
      <w:r w:rsidRPr="0096113E">
        <w:rPr>
          <w:sz w:val="24"/>
          <w:szCs w:val="24"/>
        </w:rPr>
        <w:t>CoC's</w:t>
      </w:r>
      <w:proofErr w:type="spellEnd"/>
      <w:r w:rsidRPr="0096113E">
        <w:rPr>
          <w:sz w:val="24"/>
          <w:szCs w:val="24"/>
        </w:rPr>
        <w:t xml:space="preserve"> project scores 17% from 2/1/2020 to 1/31/2021. </w:t>
      </w:r>
    </w:p>
    <w:p w14:paraId="08A22BDA" w14:textId="77777777" w:rsidR="0096113E" w:rsidRPr="0096113E" w:rsidRDefault="0096113E" w:rsidP="0096113E">
      <w:pPr>
        <w:pStyle w:val="ListParagraph"/>
        <w:numPr>
          <w:ilvl w:val="0"/>
          <w:numId w:val="14"/>
        </w:numPr>
        <w:rPr>
          <w:sz w:val="24"/>
          <w:szCs w:val="24"/>
        </w:rPr>
      </w:pPr>
      <w:r w:rsidRPr="0096113E">
        <w:rPr>
          <w:sz w:val="24"/>
          <w:szCs w:val="24"/>
        </w:rPr>
        <w:t xml:space="preserve">Participants who have obtained non-cash benefits will go up from 64% to 85%. On average, all </w:t>
      </w:r>
      <w:proofErr w:type="spellStart"/>
      <w:r w:rsidRPr="0096113E">
        <w:rPr>
          <w:sz w:val="24"/>
          <w:szCs w:val="24"/>
        </w:rPr>
        <w:t>CoC's</w:t>
      </w:r>
      <w:proofErr w:type="spellEnd"/>
      <w:r w:rsidRPr="0096113E">
        <w:rPr>
          <w:sz w:val="24"/>
          <w:szCs w:val="24"/>
        </w:rPr>
        <w:t xml:space="preserve"> project scores 79% from 2/1/2020 to 1/31/2021.</w:t>
      </w:r>
    </w:p>
    <w:p w14:paraId="507900E4" w14:textId="77777777" w:rsidR="0096113E" w:rsidRPr="0096113E" w:rsidRDefault="0096113E" w:rsidP="0096113E">
      <w:pPr>
        <w:pStyle w:val="ListParagraph"/>
        <w:numPr>
          <w:ilvl w:val="0"/>
          <w:numId w:val="14"/>
        </w:numPr>
        <w:rPr>
          <w:sz w:val="24"/>
          <w:szCs w:val="24"/>
        </w:rPr>
      </w:pPr>
      <w:r w:rsidRPr="0096113E">
        <w:rPr>
          <w:sz w:val="24"/>
          <w:szCs w:val="24"/>
        </w:rPr>
        <w:t xml:space="preserve">Participants who have health insurance will go from 80% to 90%. On average, all </w:t>
      </w:r>
      <w:proofErr w:type="spellStart"/>
      <w:r w:rsidRPr="0096113E">
        <w:rPr>
          <w:sz w:val="24"/>
          <w:szCs w:val="24"/>
        </w:rPr>
        <w:t>CoC's</w:t>
      </w:r>
      <w:proofErr w:type="spellEnd"/>
      <w:r w:rsidRPr="0096113E">
        <w:rPr>
          <w:sz w:val="24"/>
          <w:szCs w:val="24"/>
        </w:rPr>
        <w:t xml:space="preserve"> project scores 94% from 2/1/2020 to 1/31/2021.</w:t>
      </w:r>
    </w:p>
    <w:p w14:paraId="4D241B98" w14:textId="77777777" w:rsidR="0096113E" w:rsidRPr="0096113E" w:rsidRDefault="0096113E" w:rsidP="0096113E">
      <w:pPr>
        <w:rPr>
          <w:sz w:val="24"/>
          <w:szCs w:val="24"/>
        </w:rPr>
      </w:pPr>
      <w:r w:rsidRPr="0096113E">
        <w:rPr>
          <w:sz w:val="24"/>
          <w:szCs w:val="24"/>
        </w:rPr>
        <w:t xml:space="preserve">Starting March 1st, 2021, these changes will take effect for the monthly reports and will be the updated measurements for the upcoming FY2021 Local NOFA. </w:t>
      </w:r>
    </w:p>
    <w:p w14:paraId="7D437E37" w14:textId="77777777" w:rsidR="0096113E" w:rsidRPr="0096113E" w:rsidRDefault="0096113E" w:rsidP="0096113E">
      <w:pPr>
        <w:rPr>
          <w:sz w:val="24"/>
          <w:szCs w:val="24"/>
        </w:rPr>
      </w:pPr>
      <w:r w:rsidRPr="0096113E">
        <w:rPr>
          <w:sz w:val="24"/>
          <w:szCs w:val="24"/>
        </w:rPr>
        <w:t>The following updated measurement will take effect starting June 1</w:t>
      </w:r>
      <w:r w:rsidRPr="0096113E">
        <w:rPr>
          <w:sz w:val="24"/>
          <w:szCs w:val="24"/>
          <w:vertAlign w:val="superscript"/>
        </w:rPr>
        <w:t>st</w:t>
      </w:r>
      <w:r w:rsidRPr="0096113E">
        <w:rPr>
          <w:sz w:val="24"/>
          <w:szCs w:val="24"/>
        </w:rPr>
        <w:t xml:space="preserve">, 2021. </w:t>
      </w:r>
    </w:p>
    <w:p w14:paraId="214E08AE" w14:textId="77777777" w:rsidR="0096113E" w:rsidRPr="0096113E" w:rsidRDefault="0096113E" w:rsidP="0096113E">
      <w:pPr>
        <w:pStyle w:val="ListParagraph"/>
        <w:numPr>
          <w:ilvl w:val="0"/>
          <w:numId w:val="15"/>
        </w:numPr>
        <w:rPr>
          <w:sz w:val="24"/>
          <w:szCs w:val="24"/>
        </w:rPr>
      </w:pPr>
      <w:r w:rsidRPr="0096113E">
        <w:rPr>
          <w:sz w:val="24"/>
          <w:szCs w:val="24"/>
        </w:rPr>
        <w:t>100% of all intake data will be entered into HMIS within 48 hours.</w:t>
      </w:r>
    </w:p>
    <w:p w14:paraId="49AFC910" w14:textId="77777777" w:rsidR="0096113E" w:rsidRPr="0096113E" w:rsidRDefault="0096113E" w:rsidP="0096113E">
      <w:pPr>
        <w:rPr>
          <w:sz w:val="24"/>
          <w:szCs w:val="24"/>
        </w:rPr>
      </w:pPr>
      <w:r w:rsidRPr="0096113E">
        <w:rPr>
          <w:sz w:val="24"/>
          <w:szCs w:val="24"/>
        </w:rPr>
        <w:t xml:space="preserve">Ultimately, we are looking to the future for growth in our portfolio of permanent housing projects in our community that will help us end homelessness in Rochester and Monroe County. </w:t>
      </w:r>
    </w:p>
    <w:p w14:paraId="00781359" w14:textId="77777777" w:rsidR="0096113E" w:rsidRPr="0096113E" w:rsidRDefault="0096113E" w:rsidP="002D4D76">
      <w:pPr>
        <w:pStyle w:val="NoSpacing"/>
        <w:rPr>
          <w:color w:val="0563C1" w:themeColor="hyperlink"/>
          <w:sz w:val="24"/>
          <w:szCs w:val="24"/>
          <w:u w:val="single"/>
        </w:rPr>
      </w:pPr>
    </w:p>
    <w:sectPr w:rsidR="0096113E" w:rsidRPr="0096113E" w:rsidSect="009D55E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ABC"/>
    <w:multiLevelType w:val="hybridMultilevel"/>
    <w:tmpl w:val="A32EC102"/>
    <w:lvl w:ilvl="0" w:tplc="E7789A3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15F34F64"/>
    <w:multiLevelType w:val="hybridMultilevel"/>
    <w:tmpl w:val="0B4601DA"/>
    <w:lvl w:ilvl="0" w:tplc="04090019">
      <w:start w:val="1"/>
      <w:numFmt w:val="lowerLetter"/>
      <w:lvlText w:val="%1."/>
      <w:lvlJc w:val="left"/>
      <w:pPr>
        <w:ind w:left="1482" w:hanging="360"/>
      </w:p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2" w15:restartNumberingAfterBreak="0">
    <w:nsid w:val="192725CB"/>
    <w:multiLevelType w:val="hybridMultilevel"/>
    <w:tmpl w:val="54AA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F2D74"/>
    <w:multiLevelType w:val="hybridMultilevel"/>
    <w:tmpl w:val="134E1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B6F0C"/>
    <w:multiLevelType w:val="hybridMultilevel"/>
    <w:tmpl w:val="01A8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2740F"/>
    <w:multiLevelType w:val="hybridMultilevel"/>
    <w:tmpl w:val="2F16D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C47A0"/>
    <w:multiLevelType w:val="hybridMultilevel"/>
    <w:tmpl w:val="0C68629C"/>
    <w:lvl w:ilvl="0" w:tplc="0409000F">
      <w:start w:val="1"/>
      <w:numFmt w:val="decimal"/>
      <w:lvlText w:val="%1."/>
      <w:lvlJc w:val="left"/>
      <w:pPr>
        <w:ind w:left="4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479E9"/>
    <w:multiLevelType w:val="hybridMultilevel"/>
    <w:tmpl w:val="7E506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112CD"/>
    <w:multiLevelType w:val="hybridMultilevel"/>
    <w:tmpl w:val="0C68629C"/>
    <w:lvl w:ilvl="0" w:tplc="0409000F">
      <w:start w:val="1"/>
      <w:numFmt w:val="decimal"/>
      <w:lvlText w:val="%1."/>
      <w:lvlJc w:val="left"/>
      <w:pPr>
        <w:ind w:left="4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159BB"/>
    <w:multiLevelType w:val="hybridMultilevel"/>
    <w:tmpl w:val="2BAC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06E80"/>
    <w:multiLevelType w:val="hybridMultilevel"/>
    <w:tmpl w:val="7C487A34"/>
    <w:lvl w:ilvl="0" w:tplc="04090013">
      <w:start w:val="1"/>
      <w:numFmt w:val="upperRoman"/>
      <w:lvlText w:val="%1."/>
      <w:lvlJc w:val="right"/>
      <w:pPr>
        <w:ind w:left="402" w:hanging="360"/>
      </w:pPr>
      <w:rPr>
        <w:rFonts w:hint="default"/>
      </w:rPr>
    </w:lvl>
    <w:lvl w:ilvl="1" w:tplc="04090003">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11" w15:restartNumberingAfterBreak="0">
    <w:nsid w:val="73E454D7"/>
    <w:multiLevelType w:val="hybridMultilevel"/>
    <w:tmpl w:val="1006F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737D4"/>
    <w:multiLevelType w:val="hybridMultilevel"/>
    <w:tmpl w:val="E134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30772"/>
    <w:multiLevelType w:val="hybridMultilevel"/>
    <w:tmpl w:val="86060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96BE2"/>
    <w:multiLevelType w:val="hybridMultilevel"/>
    <w:tmpl w:val="38E06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
  </w:num>
  <w:num w:numId="6">
    <w:abstractNumId w:val="11"/>
  </w:num>
  <w:num w:numId="7">
    <w:abstractNumId w:val="5"/>
  </w:num>
  <w:num w:numId="8">
    <w:abstractNumId w:val="12"/>
  </w:num>
  <w:num w:numId="9">
    <w:abstractNumId w:val="14"/>
  </w:num>
  <w:num w:numId="10">
    <w:abstractNumId w:val="3"/>
  </w:num>
  <w:num w:numId="11">
    <w:abstractNumId w:val="13"/>
  </w:num>
  <w:num w:numId="12">
    <w:abstractNumId w:val="4"/>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zIzsbA0NTO1MDJX0lEKTi0uzszPAykwrAUA1iiuaCwAAAA="/>
  </w:docVars>
  <w:rsids>
    <w:rsidRoot w:val="00866229"/>
    <w:rsid w:val="00021BB7"/>
    <w:rsid w:val="0007091F"/>
    <w:rsid w:val="000F7894"/>
    <w:rsid w:val="001C1D4E"/>
    <w:rsid w:val="001E5FD1"/>
    <w:rsid w:val="00205752"/>
    <w:rsid w:val="00206E5F"/>
    <w:rsid w:val="002233F6"/>
    <w:rsid w:val="00226321"/>
    <w:rsid w:val="002454FF"/>
    <w:rsid w:val="00276782"/>
    <w:rsid w:val="002A5762"/>
    <w:rsid w:val="002D4D76"/>
    <w:rsid w:val="002F682C"/>
    <w:rsid w:val="00376C49"/>
    <w:rsid w:val="003D1B77"/>
    <w:rsid w:val="00445876"/>
    <w:rsid w:val="00461EA4"/>
    <w:rsid w:val="00462CE7"/>
    <w:rsid w:val="004F4A78"/>
    <w:rsid w:val="005308D4"/>
    <w:rsid w:val="005434D5"/>
    <w:rsid w:val="005F1866"/>
    <w:rsid w:val="00641B3E"/>
    <w:rsid w:val="00656C13"/>
    <w:rsid w:val="006962CB"/>
    <w:rsid w:val="007757A1"/>
    <w:rsid w:val="007B10EC"/>
    <w:rsid w:val="007C6657"/>
    <w:rsid w:val="007F056B"/>
    <w:rsid w:val="007F129D"/>
    <w:rsid w:val="00806C17"/>
    <w:rsid w:val="00821617"/>
    <w:rsid w:val="008269AB"/>
    <w:rsid w:val="00866229"/>
    <w:rsid w:val="008B6122"/>
    <w:rsid w:val="008E3C10"/>
    <w:rsid w:val="008F7F88"/>
    <w:rsid w:val="009075B1"/>
    <w:rsid w:val="0096113E"/>
    <w:rsid w:val="009D4C30"/>
    <w:rsid w:val="009D55E9"/>
    <w:rsid w:val="00A10EE0"/>
    <w:rsid w:val="00AC500D"/>
    <w:rsid w:val="00AE3B2A"/>
    <w:rsid w:val="00B0590A"/>
    <w:rsid w:val="00B10ADB"/>
    <w:rsid w:val="00B86D09"/>
    <w:rsid w:val="00BC3FCF"/>
    <w:rsid w:val="00BE2BA1"/>
    <w:rsid w:val="00C1249E"/>
    <w:rsid w:val="00C14E27"/>
    <w:rsid w:val="00C35E2E"/>
    <w:rsid w:val="00C37522"/>
    <w:rsid w:val="00C55290"/>
    <w:rsid w:val="00C76B41"/>
    <w:rsid w:val="00CB3D22"/>
    <w:rsid w:val="00D340B8"/>
    <w:rsid w:val="00D50B2E"/>
    <w:rsid w:val="00DB7180"/>
    <w:rsid w:val="00E140D1"/>
    <w:rsid w:val="00E46257"/>
    <w:rsid w:val="00E87ED8"/>
    <w:rsid w:val="00FF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C4BF"/>
  <w15:chartTrackingRefBased/>
  <w15:docId w15:val="{AFBB82CB-B02A-4D32-B9D8-544334E9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49"/>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29D"/>
    <w:pPr>
      <w:spacing w:after="0" w:line="240" w:lineRule="auto"/>
    </w:pPr>
  </w:style>
  <w:style w:type="character" w:styleId="Hyperlink">
    <w:name w:val="Hyperlink"/>
    <w:basedOn w:val="DefaultParagraphFont"/>
    <w:uiPriority w:val="99"/>
    <w:unhideWhenUsed/>
    <w:rsid w:val="007F129D"/>
    <w:rPr>
      <w:color w:val="0563C1" w:themeColor="hyperlink"/>
      <w:u w:val="single"/>
    </w:rPr>
  </w:style>
  <w:style w:type="paragraph" w:styleId="ListParagraph">
    <w:name w:val="List Paragraph"/>
    <w:basedOn w:val="Normal"/>
    <w:uiPriority w:val="34"/>
    <w:qFormat/>
    <w:rsid w:val="00376C49"/>
    <w:pPr>
      <w:ind w:left="720"/>
      <w:contextualSpacing/>
    </w:pPr>
  </w:style>
  <w:style w:type="paragraph" w:styleId="BalloonText">
    <w:name w:val="Balloon Text"/>
    <w:basedOn w:val="Normal"/>
    <w:link w:val="BalloonTextChar"/>
    <w:uiPriority w:val="99"/>
    <w:semiHidden/>
    <w:unhideWhenUsed/>
    <w:rsid w:val="009D4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30"/>
    <w:rPr>
      <w:rFonts w:ascii="Segoe UI" w:hAnsi="Segoe UI" w:cs="Segoe UI"/>
      <w:sz w:val="18"/>
      <w:szCs w:val="18"/>
    </w:rPr>
  </w:style>
  <w:style w:type="character" w:styleId="UnresolvedMention">
    <w:name w:val="Unresolved Mention"/>
    <w:basedOn w:val="DefaultParagraphFont"/>
    <w:uiPriority w:val="99"/>
    <w:semiHidden/>
    <w:unhideWhenUsed/>
    <w:rsid w:val="002454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Barber</dc:creator>
  <cp:keywords/>
  <dc:description/>
  <cp:lastModifiedBy>Charles Bollinger</cp:lastModifiedBy>
  <cp:revision>3</cp:revision>
  <cp:lastPrinted>2019-05-21T13:45:00Z</cp:lastPrinted>
  <dcterms:created xsi:type="dcterms:W3CDTF">2021-02-16T18:13:00Z</dcterms:created>
  <dcterms:modified xsi:type="dcterms:W3CDTF">2021-02-16T18:14:00Z</dcterms:modified>
</cp:coreProperties>
</file>