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47D" w:rsidRDefault="00CB0B40" w:rsidP="00CB0B40">
      <w:pPr>
        <w:jc w:val="center"/>
        <w:rPr>
          <w:sz w:val="24"/>
        </w:rPr>
      </w:pPr>
      <w:r w:rsidRPr="00CB0B40">
        <w:rPr>
          <w:sz w:val="24"/>
        </w:rPr>
        <w:t xml:space="preserve">Supportive Housing </w:t>
      </w:r>
      <w:r w:rsidR="001413C1">
        <w:rPr>
          <w:sz w:val="24"/>
        </w:rPr>
        <w:t>Tool Kit</w:t>
      </w:r>
    </w:p>
    <w:p w:rsidR="00CB0B40" w:rsidRDefault="00CB0B40" w:rsidP="00CB0B40">
      <w:pPr>
        <w:jc w:val="center"/>
        <w:rPr>
          <w:sz w:val="24"/>
        </w:rPr>
      </w:pPr>
    </w:p>
    <w:p w:rsidR="00CB0B40" w:rsidRPr="009E2AAC" w:rsidRDefault="00CB0B40" w:rsidP="00CB0B40">
      <w:pPr>
        <w:rPr>
          <w:b/>
          <w:sz w:val="24"/>
        </w:rPr>
      </w:pPr>
      <w:r w:rsidRPr="009E2AAC">
        <w:rPr>
          <w:b/>
          <w:sz w:val="24"/>
        </w:rPr>
        <w:t xml:space="preserve">What is the Supportive </w:t>
      </w:r>
      <w:r w:rsidR="001413C1">
        <w:rPr>
          <w:b/>
          <w:sz w:val="24"/>
        </w:rPr>
        <w:t>Housing Tool Kit?</w:t>
      </w:r>
    </w:p>
    <w:p w:rsidR="00CB0B40" w:rsidRDefault="00CB0B40" w:rsidP="00CB0B40">
      <w:pPr>
        <w:rPr>
          <w:sz w:val="24"/>
        </w:rPr>
      </w:pPr>
      <w:r>
        <w:rPr>
          <w:sz w:val="24"/>
        </w:rPr>
        <w:t xml:space="preserve">The Supportive Housing </w:t>
      </w:r>
      <w:r w:rsidR="001413C1">
        <w:rPr>
          <w:sz w:val="24"/>
        </w:rPr>
        <w:t xml:space="preserve">tool kit </w:t>
      </w:r>
      <w:r>
        <w:rPr>
          <w:sz w:val="24"/>
        </w:rPr>
        <w:t xml:space="preserve">was largely adopted from a tool kit developed by the Corporation for Supportive Housing (CSH). Although there may be some slight differences in the CHS tool kit and our local tool kit the overarching goals, principals, and components are the same and can be found </w:t>
      </w:r>
      <w:hyperlink r:id="rId5" w:history="1">
        <w:r w:rsidRPr="00CB0B40">
          <w:rPr>
            <w:rStyle w:val="Hyperlink"/>
            <w:sz w:val="24"/>
          </w:rPr>
          <w:t>here</w:t>
        </w:r>
      </w:hyperlink>
      <w:r>
        <w:rPr>
          <w:sz w:val="24"/>
        </w:rPr>
        <w:t>. An important piece of the tool kit is an assessment that is to be completed with Permanent Housing (PSH</w:t>
      </w:r>
      <w:r w:rsidR="00767D14">
        <w:rPr>
          <w:sz w:val="24"/>
        </w:rPr>
        <w:t>-RRH</w:t>
      </w:r>
      <w:r>
        <w:rPr>
          <w:sz w:val="24"/>
        </w:rPr>
        <w:t xml:space="preserve">) participants, ongoing, to assist them in achieving the highest levels of independence. By designing an assessment to be used by all PSH programs in the community we are creating more consistency in the way we identify and assist individual needs. Full instructions on how and when to complete </w:t>
      </w:r>
      <w:r w:rsidR="009E2AAC">
        <w:rPr>
          <w:sz w:val="24"/>
        </w:rPr>
        <w:t>the assessment will be provided in a separate document.</w:t>
      </w:r>
    </w:p>
    <w:p w:rsidR="00CB0B40" w:rsidRPr="009E2AAC" w:rsidRDefault="00CB0B40" w:rsidP="00CB0B40">
      <w:pPr>
        <w:rPr>
          <w:b/>
          <w:sz w:val="24"/>
        </w:rPr>
      </w:pPr>
      <w:r w:rsidRPr="009E2AAC">
        <w:rPr>
          <w:b/>
          <w:sz w:val="24"/>
        </w:rPr>
        <w:t xml:space="preserve">Why have a Supportive Housing </w:t>
      </w:r>
      <w:r w:rsidR="001413C1">
        <w:rPr>
          <w:b/>
          <w:sz w:val="24"/>
        </w:rPr>
        <w:t>Assessment</w:t>
      </w:r>
      <w:r w:rsidRPr="009E2AAC">
        <w:rPr>
          <w:b/>
          <w:sz w:val="24"/>
        </w:rPr>
        <w:t>?</w:t>
      </w:r>
    </w:p>
    <w:p w:rsidR="00CB0B40" w:rsidRDefault="009E2AAC" w:rsidP="00CB0B40">
      <w:pPr>
        <w:rPr>
          <w:sz w:val="24"/>
        </w:rPr>
      </w:pPr>
      <w:r>
        <w:rPr>
          <w:sz w:val="24"/>
        </w:rPr>
        <w:t>A key component to the tool kit is to</w:t>
      </w:r>
      <w:r w:rsidR="00CB0B40">
        <w:rPr>
          <w:sz w:val="24"/>
        </w:rPr>
        <w:t xml:space="preserve"> </w:t>
      </w:r>
      <w:r>
        <w:rPr>
          <w:sz w:val="24"/>
        </w:rPr>
        <w:t xml:space="preserve">promote tenant success and mobility, empowering individuals to reach their full potential and achieve the highest level of self-sufficiency possible for that person. In addition, such a process increases the capacity of homeless systems to ensure that supportive housing is used to serve the most vulnerable individuals and families. </w:t>
      </w:r>
    </w:p>
    <w:p w:rsidR="009E2AAC" w:rsidRDefault="009E2AAC" w:rsidP="00CB0B40">
      <w:pPr>
        <w:rPr>
          <w:sz w:val="24"/>
        </w:rPr>
      </w:pPr>
      <w:r>
        <w:rPr>
          <w:sz w:val="24"/>
        </w:rPr>
        <w:t>Key Principles:</w:t>
      </w:r>
    </w:p>
    <w:p w:rsidR="009E2AAC" w:rsidRDefault="009E2AAC" w:rsidP="009E2AAC">
      <w:pPr>
        <w:pStyle w:val="ListParagraph"/>
        <w:numPr>
          <w:ilvl w:val="0"/>
          <w:numId w:val="1"/>
        </w:numPr>
        <w:rPr>
          <w:sz w:val="24"/>
        </w:rPr>
      </w:pPr>
      <w:r>
        <w:rPr>
          <w:sz w:val="24"/>
        </w:rPr>
        <w:t>Voluntary; participants are never required to exit PSH if they do not wish to do so</w:t>
      </w:r>
    </w:p>
    <w:p w:rsidR="009E2AAC" w:rsidRDefault="009E2AAC" w:rsidP="009E2AAC">
      <w:pPr>
        <w:pStyle w:val="ListParagraph"/>
        <w:numPr>
          <w:ilvl w:val="0"/>
          <w:numId w:val="1"/>
        </w:numPr>
        <w:rPr>
          <w:sz w:val="24"/>
        </w:rPr>
      </w:pPr>
      <w:r>
        <w:rPr>
          <w:sz w:val="24"/>
        </w:rPr>
        <w:t xml:space="preserve">Maximizing housing options </w:t>
      </w:r>
    </w:p>
    <w:p w:rsidR="009E2AAC" w:rsidRDefault="009E2AAC" w:rsidP="009E2AAC">
      <w:pPr>
        <w:pStyle w:val="ListParagraph"/>
        <w:numPr>
          <w:ilvl w:val="0"/>
          <w:numId w:val="1"/>
        </w:numPr>
        <w:rPr>
          <w:sz w:val="24"/>
        </w:rPr>
      </w:pPr>
      <w:r>
        <w:rPr>
          <w:sz w:val="24"/>
        </w:rPr>
        <w:t>Promoting economic mobility and self-sufficiency</w:t>
      </w:r>
    </w:p>
    <w:p w:rsidR="009E2AAC" w:rsidRDefault="009E2AAC" w:rsidP="009E2AAC">
      <w:pPr>
        <w:tabs>
          <w:tab w:val="left" w:pos="2985"/>
        </w:tabs>
        <w:rPr>
          <w:sz w:val="24"/>
        </w:rPr>
      </w:pPr>
      <w:r>
        <w:rPr>
          <w:sz w:val="24"/>
        </w:rPr>
        <w:t>Key Service Components:</w:t>
      </w:r>
      <w:r>
        <w:rPr>
          <w:sz w:val="24"/>
        </w:rPr>
        <w:tab/>
      </w:r>
    </w:p>
    <w:p w:rsidR="009E2AAC" w:rsidRDefault="009E2AAC" w:rsidP="009E2AAC">
      <w:pPr>
        <w:pStyle w:val="ListParagraph"/>
        <w:numPr>
          <w:ilvl w:val="0"/>
          <w:numId w:val="2"/>
        </w:numPr>
        <w:tabs>
          <w:tab w:val="left" w:pos="2985"/>
        </w:tabs>
        <w:rPr>
          <w:sz w:val="24"/>
        </w:rPr>
      </w:pPr>
      <w:r>
        <w:rPr>
          <w:sz w:val="24"/>
        </w:rPr>
        <w:t>Independent Living-Skills training</w:t>
      </w:r>
    </w:p>
    <w:p w:rsidR="009E2AAC" w:rsidRDefault="009E2AAC" w:rsidP="009E2AAC">
      <w:pPr>
        <w:pStyle w:val="ListParagraph"/>
        <w:numPr>
          <w:ilvl w:val="0"/>
          <w:numId w:val="2"/>
        </w:numPr>
        <w:tabs>
          <w:tab w:val="left" w:pos="2985"/>
        </w:tabs>
        <w:rPr>
          <w:sz w:val="24"/>
        </w:rPr>
      </w:pPr>
      <w:r>
        <w:rPr>
          <w:sz w:val="24"/>
        </w:rPr>
        <w:t>Wellness/Illness Self-Management</w:t>
      </w:r>
    </w:p>
    <w:p w:rsidR="009E2AAC" w:rsidRDefault="009E2AAC" w:rsidP="009E2AAC">
      <w:pPr>
        <w:pStyle w:val="ListParagraph"/>
        <w:numPr>
          <w:ilvl w:val="0"/>
          <w:numId w:val="2"/>
        </w:numPr>
        <w:tabs>
          <w:tab w:val="left" w:pos="2985"/>
        </w:tabs>
        <w:rPr>
          <w:sz w:val="24"/>
        </w:rPr>
      </w:pPr>
      <w:r>
        <w:rPr>
          <w:sz w:val="24"/>
        </w:rPr>
        <w:t>Community Based Services</w:t>
      </w:r>
    </w:p>
    <w:p w:rsidR="009E2AAC" w:rsidRDefault="009E2AAC" w:rsidP="009E2AAC">
      <w:pPr>
        <w:pStyle w:val="ListParagraph"/>
        <w:numPr>
          <w:ilvl w:val="0"/>
          <w:numId w:val="2"/>
        </w:numPr>
        <w:tabs>
          <w:tab w:val="left" w:pos="2985"/>
        </w:tabs>
        <w:rPr>
          <w:sz w:val="24"/>
        </w:rPr>
      </w:pPr>
      <w:r>
        <w:rPr>
          <w:sz w:val="24"/>
        </w:rPr>
        <w:t>Employment Supports</w:t>
      </w:r>
    </w:p>
    <w:p w:rsidR="009E2AAC" w:rsidRDefault="009E2AAC" w:rsidP="009E2AAC">
      <w:pPr>
        <w:pStyle w:val="ListParagraph"/>
        <w:numPr>
          <w:ilvl w:val="0"/>
          <w:numId w:val="2"/>
        </w:numPr>
        <w:tabs>
          <w:tab w:val="left" w:pos="2985"/>
        </w:tabs>
        <w:rPr>
          <w:sz w:val="24"/>
        </w:rPr>
      </w:pPr>
      <w:r>
        <w:rPr>
          <w:sz w:val="24"/>
        </w:rPr>
        <w:t>Peer Supports</w:t>
      </w:r>
    </w:p>
    <w:p w:rsidR="001413C1" w:rsidRDefault="001413C1" w:rsidP="009E2AAC">
      <w:pPr>
        <w:tabs>
          <w:tab w:val="left" w:pos="2985"/>
        </w:tabs>
        <w:rPr>
          <w:sz w:val="24"/>
        </w:rPr>
      </w:pPr>
    </w:p>
    <w:p w:rsidR="001413C1" w:rsidRDefault="001413C1" w:rsidP="009E2AAC">
      <w:pPr>
        <w:tabs>
          <w:tab w:val="left" w:pos="2985"/>
        </w:tabs>
        <w:rPr>
          <w:sz w:val="24"/>
        </w:rPr>
      </w:pPr>
    </w:p>
    <w:p w:rsidR="001413C1" w:rsidRDefault="001413C1" w:rsidP="009E2AAC">
      <w:pPr>
        <w:tabs>
          <w:tab w:val="left" w:pos="2985"/>
        </w:tabs>
        <w:rPr>
          <w:sz w:val="24"/>
        </w:rPr>
      </w:pPr>
    </w:p>
    <w:p w:rsidR="001413C1" w:rsidRDefault="001413C1" w:rsidP="009E2AAC">
      <w:pPr>
        <w:tabs>
          <w:tab w:val="left" w:pos="2985"/>
        </w:tabs>
        <w:rPr>
          <w:sz w:val="24"/>
        </w:rPr>
      </w:pPr>
    </w:p>
    <w:p w:rsidR="001413C1" w:rsidRDefault="001413C1" w:rsidP="009E2AAC">
      <w:pPr>
        <w:tabs>
          <w:tab w:val="left" w:pos="2985"/>
        </w:tabs>
        <w:rPr>
          <w:sz w:val="24"/>
        </w:rPr>
      </w:pPr>
    </w:p>
    <w:p w:rsidR="001413C1" w:rsidRDefault="001413C1" w:rsidP="009E2AAC">
      <w:pPr>
        <w:tabs>
          <w:tab w:val="left" w:pos="2985"/>
        </w:tabs>
        <w:rPr>
          <w:sz w:val="24"/>
        </w:rPr>
      </w:pPr>
    </w:p>
    <w:p w:rsidR="009E2AAC" w:rsidRDefault="009E2AAC" w:rsidP="009E2AAC">
      <w:pPr>
        <w:tabs>
          <w:tab w:val="left" w:pos="2985"/>
        </w:tabs>
        <w:rPr>
          <w:sz w:val="24"/>
        </w:rPr>
      </w:pPr>
      <w:r>
        <w:rPr>
          <w:sz w:val="24"/>
        </w:rPr>
        <w:lastRenderedPageBreak/>
        <w:t>Screening and Assessment:</w:t>
      </w:r>
    </w:p>
    <w:p w:rsidR="009E2AAC" w:rsidRDefault="009E2AAC" w:rsidP="009E2AAC">
      <w:pPr>
        <w:tabs>
          <w:tab w:val="left" w:pos="2985"/>
        </w:tabs>
        <w:rPr>
          <w:sz w:val="24"/>
        </w:rPr>
      </w:pPr>
      <w:r>
        <w:rPr>
          <w:sz w:val="24"/>
        </w:rPr>
        <w:t xml:space="preserve">To best understand a </w:t>
      </w:r>
      <w:r w:rsidR="001413C1">
        <w:rPr>
          <w:sz w:val="24"/>
        </w:rPr>
        <w:t>person’s</w:t>
      </w:r>
      <w:r>
        <w:rPr>
          <w:sz w:val="24"/>
        </w:rPr>
        <w:t xml:space="preserve"> needs and to help drive service planning, screening and assessment is needed. Th</w:t>
      </w:r>
      <w:r w:rsidR="001413C1">
        <w:rPr>
          <w:sz w:val="24"/>
        </w:rPr>
        <w:t>e local assessment will include the following key areas to gain an accurate representation of the participant’s current situation and their capacity to move forward. While this is not an exhaustive list, the following will be included:</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 xml:space="preserve">Emotional independence (interest and confidence in moving on) </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 xml:space="preserve">Financial Capacity (employment, income, savings, budgeting skills) </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 xml:space="preserve">Housing history (housing tenure, rent arrears, past evictions, neighbor/landlord relationships) </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 xml:space="preserve">Intensity of service use (need for on-site services) </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 xml:space="preserve">Health/behavioral health (substance use, mental health, medication management, treatment engagement, mobility) </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Connection to mainstream resources (rental supports if needed)</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Connection to family or other natural supports</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 xml:space="preserve">Community living skills (self-managing behavior; limit setting relating to drugs, etc.) </w:t>
      </w:r>
    </w:p>
    <w:p w:rsidR="001413C1" w:rsidRPr="001413C1" w:rsidRDefault="001413C1" w:rsidP="001413C1">
      <w:pPr>
        <w:pStyle w:val="ListParagraph"/>
        <w:numPr>
          <w:ilvl w:val="0"/>
          <w:numId w:val="4"/>
        </w:numPr>
        <w:spacing w:line="256" w:lineRule="auto"/>
        <w:rPr>
          <w:rFonts w:cstheme="minorHAnsi"/>
          <w:sz w:val="24"/>
        </w:rPr>
      </w:pPr>
      <w:r w:rsidRPr="001413C1">
        <w:rPr>
          <w:rFonts w:cstheme="minorHAnsi"/>
          <w:sz w:val="24"/>
        </w:rPr>
        <w:t>Activities of daily living skills (ability to get meals; keep apartment clean; follow lease)</w:t>
      </w:r>
    </w:p>
    <w:p w:rsidR="001413C1" w:rsidRPr="001413C1" w:rsidRDefault="001413C1" w:rsidP="001413C1">
      <w:pPr>
        <w:pStyle w:val="ListParagraph"/>
        <w:numPr>
          <w:ilvl w:val="0"/>
          <w:numId w:val="4"/>
        </w:numPr>
        <w:spacing w:line="256" w:lineRule="auto"/>
        <w:rPr>
          <w:rFonts w:cstheme="minorHAnsi"/>
          <w:sz w:val="24"/>
        </w:rPr>
      </w:pPr>
      <w:bookmarkStart w:id="0" w:name="_GoBack"/>
      <w:r w:rsidRPr="001413C1">
        <w:rPr>
          <w:rFonts w:cstheme="minorHAnsi"/>
          <w:sz w:val="24"/>
        </w:rPr>
        <w:t xml:space="preserve">Housing goals (location, size, affordability, live with family/friends) </w:t>
      </w:r>
    </w:p>
    <w:bookmarkEnd w:id="0"/>
    <w:p w:rsidR="001413C1" w:rsidRPr="001413C1" w:rsidRDefault="001413C1" w:rsidP="001413C1">
      <w:pPr>
        <w:tabs>
          <w:tab w:val="left" w:pos="2985"/>
        </w:tabs>
        <w:rPr>
          <w:sz w:val="24"/>
        </w:rPr>
      </w:pPr>
    </w:p>
    <w:p w:rsidR="009E2AAC" w:rsidRDefault="001413C1" w:rsidP="009E2AAC">
      <w:pPr>
        <w:rPr>
          <w:sz w:val="24"/>
        </w:rPr>
      </w:pPr>
      <w:r>
        <w:rPr>
          <w:sz w:val="24"/>
        </w:rPr>
        <w:t>As in most communities, access to P</w:t>
      </w:r>
      <w:r w:rsidR="00825E99">
        <w:rPr>
          <w:sz w:val="24"/>
        </w:rPr>
        <w:t>ermanent Housing (PH) is</w:t>
      </w:r>
      <w:r>
        <w:rPr>
          <w:sz w:val="24"/>
        </w:rPr>
        <w:t xml:space="preserve"> very limited. With the adoption of the Supportive Housing Assessment, we can help to increase a </w:t>
      </w:r>
      <w:r w:rsidR="00825E99">
        <w:rPr>
          <w:sz w:val="24"/>
        </w:rPr>
        <w:t>consistent measurement of community</w:t>
      </w:r>
      <w:r>
        <w:rPr>
          <w:sz w:val="24"/>
        </w:rPr>
        <w:t xml:space="preserve"> needs and assist individuals currently in PH on their path of recovery, growth, and independent. </w:t>
      </w:r>
    </w:p>
    <w:p w:rsidR="001413C1" w:rsidRDefault="001413C1" w:rsidP="009E2AAC">
      <w:pPr>
        <w:rPr>
          <w:sz w:val="24"/>
        </w:rPr>
      </w:pPr>
      <w:r>
        <w:rPr>
          <w:sz w:val="24"/>
        </w:rPr>
        <w:t>For more information, and to review CSH’s Tool Kit please visit:</w:t>
      </w:r>
    </w:p>
    <w:p w:rsidR="001413C1" w:rsidRDefault="00825E99" w:rsidP="009E2AAC">
      <w:pPr>
        <w:rPr>
          <w:sz w:val="24"/>
        </w:rPr>
      </w:pPr>
      <w:hyperlink r:id="rId6" w:history="1">
        <w:r w:rsidR="001413C1" w:rsidRPr="00A84CCE">
          <w:rPr>
            <w:rStyle w:val="Hyperlink"/>
            <w:sz w:val="24"/>
          </w:rPr>
          <w:t>https://www.csh.org/resources/csh-moving-on-toolkit/</w:t>
        </w:r>
      </w:hyperlink>
    </w:p>
    <w:p w:rsidR="001413C1" w:rsidRPr="009E2AAC" w:rsidRDefault="001413C1" w:rsidP="009E2AAC">
      <w:pPr>
        <w:rPr>
          <w:sz w:val="24"/>
        </w:rPr>
      </w:pPr>
    </w:p>
    <w:p w:rsidR="00CB0B40" w:rsidRPr="00CB0B40" w:rsidRDefault="00CB0B40" w:rsidP="00CB0B40">
      <w:pPr>
        <w:rPr>
          <w:sz w:val="24"/>
        </w:rPr>
      </w:pPr>
    </w:p>
    <w:sectPr w:rsidR="00CB0B40" w:rsidRPr="00CB0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4212"/>
    <w:multiLevelType w:val="hybridMultilevel"/>
    <w:tmpl w:val="C33C5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884E82"/>
    <w:multiLevelType w:val="hybridMultilevel"/>
    <w:tmpl w:val="0C00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E0885"/>
    <w:multiLevelType w:val="hybridMultilevel"/>
    <w:tmpl w:val="04905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A21A3"/>
    <w:multiLevelType w:val="hybridMultilevel"/>
    <w:tmpl w:val="50B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40"/>
    <w:rsid w:val="001413C1"/>
    <w:rsid w:val="00767D14"/>
    <w:rsid w:val="00825E99"/>
    <w:rsid w:val="009E2AAC"/>
    <w:rsid w:val="00CB0B40"/>
    <w:rsid w:val="00DA3F25"/>
    <w:rsid w:val="00E51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92F8"/>
  <w15:chartTrackingRefBased/>
  <w15:docId w15:val="{D53B7BB2-4F01-46B5-9FA0-7554DBAA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B40"/>
    <w:rPr>
      <w:color w:val="0563C1" w:themeColor="hyperlink"/>
      <w:u w:val="single"/>
    </w:rPr>
  </w:style>
  <w:style w:type="paragraph" w:styleId="ListParagraph">
    <w:name w:val="List Paragraph"/>
    <w:basedOn w:val="Normal"/>
    <w:uiPriority w:val="34"/>
    <w:qFormat/>
    <w:rsid w:val="009E2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2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h.org/resources/csh-moving-on-toolkit/" TargetMode="External"/><Relationship Id="rId5" Type="http://schemas.openxmlformats.org/officeDocument/2006/relationships/hyperlink" Target="https://www.csh.org/resources/csh-moving-on-tool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Volunteers of America</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Jennings Weider</dc:creator>
  <cp:keywords/>
  <dc:description/>
  <cp:lastModifiedBy>Charles Bollinger</cp:lastModifiedBy>
  <cp:revision>2</cp:revision>
  <dcterms:created xsi:type="dcterms:W3CDTF">2019-09-10T17:08:00Z</dcterms:created>
  <dcterms:modified xsi:type="dcterms:W3CDTF">2020-01-07T14:47:00Z</dcterms:modified>
</cp:coreProperties>
</file>