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E69F8" w14:textId="09AB5206" w:rsidR="00CC24B7" w:rsidRPr="00CC24B7" w:rsidRDefault="00CC24B7" w:rsidP="00CC24B7">
      <w:pPr>
        <w:spacing w:line="284" w:lineRule="atLeast"/>
        <w:rPr>
          <w:rFonts w:ascii="Times New Roman" w:hAnsi="Times New Roman" w:cs="Times New Roman"/>
          <w:color w:val="000000"/>
          <w:kern w:val="0"/>
        </w:rPr>
      </w:pPr>
      <w:r w:rsidRPr="00CC24B7">
        <w:rPr>
          <w:rFonts w:ascii="Times New Roman" w:hAnsi="Times New Roman" w:cs="Times New Roman"/>
          <w:b/>
          <w:bCs/>
          <w:color w:val="000000" w:themeColor="text1"/>
          <w:kern w:val="0"/>
        </w:rPr>
        <w:t>SUBJECT:    Transmittal of FY2024</w:t>
      </w:r>
      <w:r>
        <w:rPr>
          <w:rFonts w:ascii="Times New Roman" w:hAnsi="Times New Roman" w:cs="Times New Roman"/>
          <w:b/>
          <w:bCs/>
          <w:color w:val="000000" w:themeColor="text1"/>
          <w:kern w:val="0"/>
        </w:rPr>
        <w:t xml:space="preserve"> </w:t>
      </w:r>
      <w:r w:rsidRPr="00CC24B7">
        <w:rPr>
          <w:rFonts w:ascii="Times New Roman" w:hAnsi="Times New Roman" w:cs="Times New Roman"/>
          <w:b/>
          <w:bCs/>
          <w:color w:val="000000" w:themeColor="text1"/>
          <w:kern w:val="0"/>
        </w:rPr>
        <w:t xml:space="preserve">CoC Renewal Grant Agreement </w:t>
      </w:r>
    </w:p>
    <w:p w14:paraId="4A93FCA6" w14:textId="1C67971E" w:rsidR="00CC24B7" w:rsidRPr="00CC24B7" w:rsidRDefault="00CC24B7" w:rsidP="00CC24B7">
      <w:pPr>
        <w:spacing w:line="284" w:lineRule="atLeast"/>
        <w:ind w:firstLine="720"/>
        <w:rPr>
          <w:rFonts w:ascii="Times New Roman" w:hAnsi="Times New Roman" w:cs="Times New Roman"/>
          <w:color w:val="000000"/>
          <w:kern w:val="0"/>
        </w:rPr>
      </w:pPr>
      <w:r w:rsidRPr="00CC24B7">
        <w:rPr>
          <w:rFonts w:ascii="Times New Roman" w:hAnsi="Times New Roman" w:cs="Times New Roman"/>
          <w:b/>
          <w:bCs/>
          <w:color w:val="000000" w:themeColor="text1"/>
          <w:kern w:val="0"/>
        </w:rPr>
        <w:t>Attached is the CoC grant agreement, which includes your renewal grant for 2024.</w:t>
      </w:r>
      <w:r>
        <w:rPr>
          <w:rFonts w:ascii="Times New Roman" w:hAnsi="Times New Roman" w:cs="Times New Roman"/>
          <w:b/>
          <w:bCs/>
          <w:color w:val="000000" w:themeColor="text1"/>
          <w:kern w:val="0"/>
        </w:rPr>
        <w:t xml:space="preserve">  </w:t>
      </w:r>
      <w:r w:rsidRPr="00CC24B7">
        <w:rPr>
          <w:rFonts w:ascii="Times New Roman" w:hAnsi="Times New Roman" w:cs="Times New Roman"/>
          <w:b/>
          <w:bCs/>
          <w:color w:val="000000" w:themeColor="text1"/>
          <w:kern w:val="0"/>
        </w:rPr>
        <w:t>If applicable, this attached agreement replaces, in full, any previously transmitted FY24 renewal grant agreement.</w:t>
      </w:r>
    </w:p>
    <w:p w14:paraId="2A5056EE" w14:textId="71994AE3" w:rsidR="00CC24B7" w:rsidRPr="00CC24B7" w:rsidRDefault="00CC24B7" w:rsidP="00CC24B7">
      <w:pPr>
        <w:spacing w:line="284" w:lineRule="atLeast"/>
        <w:ind w:firstLine="720"/>
        <w:rPr>
          <w:rFonts w:ascii="Times New Roman" w:hAnsi="Times New Roman" w:cs="Times New Roman"/>
          <w:color w:val="000000"/>
          <w:kern w:val="0"/>
        </w:rPr>
      </w:pPr>
      <w:r w:rsidRPr="00CC24B7">
        <w:rPr>
          <w:rFonts w:ascii="Times New Roman" w:hAnsi="Times New Roman" w:cs="Times New Roman"/>
          <w:color w:val="000000"/>
          <w:kern w:val="0"/>
        </w:rPr>
        <w:t xml:space="preserve">Congratulations on your award </w:t>
      </w:r>
      <w:proofErr w:type="gramStart"/>
      <w:r w:rsidRPr="00CC24B7">
        <w:rPr>
          <w:rFonts w:ascii="Times New Roman" w:hAnsi="Times New Roman" w:cs="Times New Roman"/>
          <w:color w:val="000000"/>
          <w:kern w:val="0"/>
        </w:rPr>
        <w:t>under</w:t>
      </w:r>
      <w:proofErr w:type="gramEnd"/>
      <w:r w:rsidRPr="00CC24B7">
        <w:rPr>
          <w:rFonts w:ascii="Times New Roman" w:hAnsi="Times New Roman" w:cs="Times New Roman"/>
          <w:color w:val="000000"/>
          <w:kern w:val="0"/>
        </w:rPr>
        <w:t xml:space="preserve"> the Department of Housing and Urban Development's 2024 Continuum of Care Program funding competition.</w:t>
      </w:r>
      <w:r>
        <w:rPr>
          <w:rFonts w:ascii="Times New Roman" w:hAnsi="Times New Roman" w:cs="Times New Roman"/>
          <w:color w:val="000000"/>
          <w:kern w:val="0"/>
        </w:rPr>
        <w:t xml:space="preserve"> </w:t>
      </w:r>
      <w:r w:rsidRPr="00CC24B7">
        <w:rPr>
          <w:rFonts w:ascii="Times New Roman" w:hAnsi="Times New Roman" w:cs="Times New Roman"/>
          <w:color w:val="000000"/>
          <w:kern w:val="0"/>
        </w:rPr>
        <w:t xml:space="preserve"> Addressing homelessness is one of the Department's top priorities and these projects will make a significant contribution toward supporting a continuum of care system in your community.  </w:t>
      </w:r>
    </w:p>
    <w:p w14:paraId="6723AE24" w14:textId="77777777" w:rsidR="00CC24B7" w:rsidRPr="00CC24B7" w:rsidRDefault="00CC24B7" w:rsidP="00CC24B7">
      <w:pPr>
        <w:spacing w:line="240" w:lineRule="atLeast"/>
        <w:ind w:firstLine="720"/>
        <w:rPr>
          <w:rFonts w:ascii="Times New Roman" w:hAnsi="Times New Roman" w:cs="Times New Roman"/>
          <w:color w:val="000000"/>
          <w:kern w:val="0"/>
        </w:rPr>
      </w:pPr>
      <w:r w:rsidRPr="00CC24B7">
        <w:rPr>
          <w:rFonts w:ascii="Times New Roman" w:hAnsi="Times New Roman" w:cs="Times New Roman"/>
          <w:color w:val="000000"/>
          <w:kern w:val="0"/>
        </w:rPr>
        <w:t xml:space="preserve">Our goal is to process your renewal grants as expeditiously as possible.  This transmittal includes important instructions for processing your grant agreement and additional information regarding the administration of CoC program funds.  </w:t>
      </w:r>
    </w:p>
    <w:p w14:paraId="5EDC986E" w14:textId="77777777" w:rsidR="00CC24B7" w:rsidRPr="00CC24B7" w:rsidRDefault="00CC24B7" w:rsidP="00CC24B7">
      <w:pPr>
        <w:spacing w:line="240" w:lineRule="atLeast"/>
        <w:ind w:firstLine="720"/>
        <w:rPr>
          <w:rFonts w:ascii="Times New Roman" w:hAnsi="Times New Roman" w:cs="Times New Roman"/>
          <w:color w:val="000000"/>
          <w:kern w:val="0"/>
        </w:rPr>
      </w:pPr>
      <w:r w:rsidRPr="00CC24B7">
        <w:rPr>
          <w:rFonts w:ascii="Times New Roman" w:hAnsi="Times New Roman" w:cs="Times New Roman"/>
          <w:color w:val="000000" w:themeColor="text1"/>
          <w:kern w:val="0"/>
        </w:rPr>
        <w:t>Once executed, the grant agreement will be in effect for the grant period of performance.  It contains relevant project information such as the project number, period of performance, grant award amount, and grant Budget Line Item (BLI) amounts.</w:t>
      </w:r>
    </w:p>
    <w:p w14:paraId="4FD0AFBE" w14:textId="637B62C5" w:rsidR="00CC24B7" w:rsidRPr="00CC24B7" w:rsidRDefault="00CC24B7" w:rsidP="00CC24B7">
      <w:pPr>
        <w:spacing w:line="240" w:lineRule="atLeast"/>
        <w:ind w:firstLine="720"/>
        <w:rPr>
          <w:rFonts w:ascii="Times New Roman" w:hAnsi="Times New Roman" w:cs="Times New Roman"/>
          <w:color w:val="000000"/>
          <w:kern w:val="0"/>
        </w:rPr>
      </w:pPr>
      <w:r w:rsidRPr="00CC24B7">
        <w:rPr>
          <w:rFonts w:ascii="Times New Roman" w:hAnsi="Times New Roman" w:cs="Times New Roman"/>
          <w:color w:val="000000"/>
          <w:kern w:val="0"/>
        </w:rPr>
        <w:t xml:space="preserve">Please execute the grant agreement in accordance with the instructions provided and once executed, </w:t>
      </w:r>
      <w:r w:rsidRPr="00CC24B7">
        <w:rPr>
          <w:rFonts w:ascii="Times New Roman" w:hAnsi="Times New Roman" w:cs="Times New Roman"/>
          <w:b/>
          <w:bCs/>
          <w:color w:val="000000"/>
          <w:kern w:val="0"/>
        </w:rPr>
        <w:t>email a PDF</w:t>
      </w:r>
      <w:r w:rsidRPr="00CC24B7">
        <w:rPr>
          <w:rFonts w:ascii="Times New Roman" w:hAnsi="Times New Roman" w:cs="Times New Roman"/>
          <w:color w:val="000000"/>
          <w:kern w:val="0"/>
        </w:rPr>
        <w:t xml:space="preserve"> of the grant agreement to </w:t>
      </w:r>
      <w:hyperlink r:id="rId5" w:history="1">
        <w:r w:rsidR="00DC4F19">
          <w:rPr>
            <w:rStyle w:val="Hyperlink"/>
            <w:rFonts w:ascii="Times New Roman" w:hAnsi="Times New Roman" w:cs="Times New Roman"/>
            <w:kern w:val="0"/>
          </w:rPr>
          <w:t>XXXXXXXX</w:t>
        </w:r>
      </w:hyperlink>
      <w:r w:rsidRPr="00CC24B7">
        <w:rPr>
          <w:rFonts w:ascii="Times New Roman" w:hAnsi="Times New Roman" w:cs="Times New Roman"/>
          <w:color w:val="000000"/>
          <w:kern w:val="0"/>
        </w:rPr>
        <w:t xml:space="preserve">.  Please retain a copy </w:t>
      </w:r>
      <w:proofErr w:type="gramStart"/>
      <w:r w:rsidRPr="00CC24B7">
        <w:rPr>
          <w:rFonts w:ascii="Times New Roman" w:hAnsi="Times New Roman" w:cs="Times New Roman"/>
          <w:color w:val="000000"/>
          <w:kern w:val="0"/>
        </w:rPr>
        <w:t>for</w:t>
      </w:r>
      <w:proofErr w:type="gramEnd"/>
      <w:r w:rsidRPr="00CC24B7">
        <w:rPr>
          <w:rFonts w:ascii="Times New Roman" w:hAnsi="Times New Roman" w:cs="Times New Roman"/>
          <w:color w:val="000000"/>
          <w:kern w:val="0"/>
        </w:rPr>
        <w:t xml:space="preserve"> your records.</w:t>
      </w:r>
    </w:p>
    <w:p w14:paraId="13F2E890" w14:textId="77777777" w:rsidR="00CC24B7" w:rsidRPr="00CC24B7" w:rsidRDefault="00CC24B7" w:rsidP="00CC24B7">
      <w:pPr>
        <w:spacing w:line="240" w:lineRule="atLeast"/>
        <w:rPr>
          <w:rFonts w:ascii="Times New Roman" w:hAnsi="Times New Roman" w:cs="Times New Roman"/>
          <w:b/>
          <w:bCs/>
          <w:color w:val="000000"/>
          <w:kern w:val="0"/>
        </w:rPr>
      </w:pPr>
      <w:r w:rsidRPr="00CC24B7">
        <w:rPr>
          <w:rFonts w:ascii="Times New Roman" w:hAnsi="Times New Roman" w:cs="Times New Roman"/>
          <w:b/>
          <w:bCs/>
          <w:color w:val="000000"/>
          <w:kern w:val="0"/>
          <w:u w:val="single"/>
        </w:rPr>
        <w:t>Important Instructions</w:t>
      </w:r>
      <w:r w:rsidRPr="00CC24B7">
        <w:rPr>
          <w:rFonts w:ascii="Times New Roman" w:hAnsi="Times New Roman" w:cs="Times New Roman"/>
          <w:b/>
          <w:bCs/>
          <w:color w:val="000000"/>
          <w:kern w:val="0"/>
        </w:rPr>
        <w:t>—</w:t>
      </w:r>
    </w:p>
    <w:p w14:paraId="554F40FD" w14:textId="0F5B5708" w:rsidR="006E3570" w:rsidRPr="006E3570" w:rsidRDefault="00CC24B7" w:rsidP="006E3570">
      <w:pPr>
        <w:pStyle w:val="ListParagraph"/>
        <w:numPr>
          <w:ilvl w:val="0"/>
          <w:numId w:val="5"/>
        </w:numPr>
        <w:spacing w:before="100" w:beforeAutospacing="1" w:after="100" w:afterAutospacing="1" w:line="240" w:lineRule="auto"/>
        <w:rPr>
          <w:rFonts w:ascii="Times New Roman" w:eastAsia="Times New Roman" w:hAnsi="Times New Roman" w:cs="Times New Roman"/>
          <w:b/>
          <w:bCs/>
          <w:kern w:val="0"/>
        </w:rPr>
      </w:pPr>
      <w:r w:rsidRPr="006E3570">
        <w:rPr>
          <w:rFonts w:ascii="Times New Roman" w:eastAsia="Times New Roman" w:hAnsi="Times New Roman" w:cs="Times New Roman"/>
          <w:b/>
          <w:bCs/>
          <w:kern w:val="0"/>
        </w:rPr>
        <w:t xml:space="preserve">The signatory to the agreement </w:t>
      </w:r>
      <w:r w:rsidRPr="006E3570">
        <w:rPr>
          <w:rFonts w:ascii="Times New Roman" w:eastAsia="Times New Roman" w:hAnsi="Times New Roman" w:cs="Times New Roman"/>
          <w:b/>
          <w:bCs/>
          <w:kern w:val="0"/>
          <w:u w:val="single"/>
        </w:rPr>
        <w:t>must</w:t>
      </w:r>
      <w:r w:rsidRPr="006E3570">
        <w:rPr>
          <w:rFonts w:ascii="Times New Roman" w:eastAsia="Times New Roman" w:hAnsi="Times New Roman" w:cs="Times New Roman"/>
          <w:b/>
          <w:bCs/>
          <w:kern w:val="0"/>
        </w:rPr>
        <w:t xml:space="preserve"> match the authorized official in </w:t>
      </w:r>
      <w:hyperlink r:id="rId6">
        <w:r w:rsidRPr="006E3570">
          <w:rPr>
            <w:rFonts w:ascii="Times New Roman" w:eastAsia="Times New Roman" w:hAnsi="Times New Roman" w:cs="Times New Roman"/>
            <w:b/>
            <w:bCs/>
            <w:i/>
            <w:iCs/>
            <w:color w:val="467886" w:themeColor="hyperlink"/>
            <w:kern w:val="0"/>
            <w:u w:val="single"/>
          </w:rPr>
          <w:t>e-snaps</w:t>
        </w:r>
      </w:hyperlink>
      <w:r w:rsidRPr="006E3570">
        <w:rPr>
          <w:rFonts w:ascii="Times New Roman" w:eastAsia="Times New Roman" w:hAnsi="Times New Roman" w:cs="Times New Roman"/>
          <w:b/>
          <w:bCs/>
          <w:kern w:val="0"/>
        </w:rPr>
        <w:t xml:space="preserve">.  </w:t>
      </w:r>
      <w:r w:rsidRPr="006E3570">
        <w:rPr>
          <w:rFonts w:ascii="Times New Roman" w:eastAsia="Times New Roman" w:hAnsi="Times New Roman" w:cs="Times New Roman"/>
          <w:color w:val="000000" w:themeColor="text1"/>
          <w:kern w:val="0"/>
        </w:rPr>
        <w:t xml:space="preserve">Our office cannot process any grants with discrepancies.  This is found in each grantee’s Applicant Profile in </w:t>
      </w:r>
      <w:r w:rsidRPr="006E3570">
        <w:rPr>
          <w:rFonts w:ascii="Times New Roman" w:eastAsia="Times New Roman" w:hAnsi="Times New Roman" w:cs="Times New Roman"/>
          <w:i/>
          <w:iCs/>
          <w:kern w:val="0"/>
        </w:rPr>
        <w:t>e-snaps</w:t>
      </w:r>
      <w:r w:rsidRPr="006E3570">
        <w:rPr>
          <w:rFonts w:ascii="Times New Roman" w:eastAsia="Times New Roman" w:hAnsi="Times New Roman" w:cs="Times New Roman"/>
          <w:color w:val="000000" w:themeColor="text1"/>
          <w:kern w:val="0"/>
        </w:rPr>
        <w:t xml:space="preserve">.  </w:t>
      </w:r>
    </w:p>
    <w:p w14:paraId="78E9E6AA" w14:textId="77777777" w:rsidR="006E3570" w:rsidRPr="006E3570" w:rsidRDefault="006E3570" w:rsidP="006E3570">
      <w:pPr>
        <w:pStyle w:val="ListParagraph"/>
        <w:spacing w:before="100" w:beforeAutospacing="1" w:after="100" w:afterAutospacing="1" w:line="240" w:lineRule="auto"/>
        <w:ind w:left="1080"/>
        <w:rPr>
          <w:rFonts w:ascii="Times New Roman" w:eastAsia="Times New Roman" w:hAnsi="Times New Roman" w:cs="Times New Roman"/>
          <w:b/>
          <w:bCs/>
          <w:kern w:val="0"/>
        </w:rPr>
      </w:pPr>
    </w:p>
    <w:p w14:paraId="44D82381" w14:textId="4900DF5F" w:rsidR="006E3570" w:rsidRPr="006E3570" w:rsidRDefault="00CC24B7" w:rsidP="006E3570">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6E3570">
        <w:rPr>
          <w:rFonts w:ascii="Times New Roman" w:eastAsia="Times New Roman" w:hAnsi="Times New Roman" w:cs="Times New Roman"/>
          <w:kern w:val="0"/>
          <w14:ligatures w14:val="none"/>
        </w:rPr>
        <w:t xml:space="preserve">New for FY2024, the authorized official </w:t>
      </w:r>
      <w:r w:rsidRPr="006E3570">
        <w:rPr>
          <w:rFonts w:ascii="Times New Roman" w:eastAsia="Times New Roman" w:hAnsi="Times New Roman" w:cs="Times New Roman"/>
          <w:b/>
          <w:bCs/>
          <w:kern w:val="0"/>
          <w:u w:val="single"/>
          <w14:ligatures w14:val="none"/>
        </w:rPr>
        <w:t>must</w:t>
      </w:r>
      <w:r w:rsidRPr="006E3570">
        <w:rPr>
          <w:rFonts w:ascii="Times New Roman" w:eastAsia="Times New Roman" w:hAnsi="Times New Roman" w:cs="Times New Roman"/>
          <w:kern w:val="0"/>
          <w14:ligatures w14:val="none"/>
        </w:rPr>
        <w:t xml:space="preserve"> complete the </w:t>
      </w:r>
      <w:r w:rsidRPr="006E3570">
        <w:rPr>
          <w:rFonts w:ascii="Times New Roman" w:eastAsia="Times New Roman" w:hAnsi="Times New Roman" w:cs="Times New Roman"/>
          <w:b/>
          <w:bCs/>
          <w:kern w:val="0"/>
          <w14:ligatures w14:val="none"/>
        </w:rPr>
        <w:t>Indirect Cost Rate Addendum</w:t>
      </w:r>
      <w:r w:rsidRPr="006E3570">
        <w:rPr>
          <w:rFonts w:ascii="Times New Roman" w:eastAsia="Times New Roman" w:hAnsi="Times New Roman" w:cs="Times New Roman"/>
          <w:kern w:val="0"/>
          <w14:ligatures w14:val="none"/>
        </w:rPr>
        <w:t xml:space="preserve"> to each agreement.  </w:t>
      </w:r>
      <w:r w:rsidRPr="006E3570">
        <w:rPr>
          <w:rFonts w:ascii="Times New Roman" w:eastAsia="Times New Roman" w:hAnsi="Times New Roman" w:cs="Times New Roman"/>
          <w:color w:val="000000"/>
          <w:kern w:val="0"/>
          <w:shd w:val="clear" w:color="auto" w:fill="FFFFFF"/>
          <w14:ligatures w14:val="none"/>
        </w:rPr>
        <w:t>Please mark one (and only one) checkbox</w:t>
      </w:r>
      <w:r w:rsidRPr="006E3570">
        <w:rPr>
          <w:rFonts w:ascii="Times New Roman" w:eastAsia="Times New Roman" w:hAnsi="Times New Roman" w:cs="Times New Roman"/>
          <w:b/>
          <w:bCs/>
          <w:color w:val="000000"/>
          <w:kern w:val="0"/>
          <w:shd w:val="clear" w:color="auto" w:fill="FFFFFF"/>
          <w14:ligatures w14:val="none"/>
        </w:rPr>
        <w:t xml:space="preserve"> </w:t>
      </w:r>
      <w:r w:rsidRPr="006E3570">
        <w:rPr>
          <w:rFonts w:ascii="Times New Roman" w:eastAsia="Times New Roman" w:hAnsi="Times New Roman" w:cs="Times New Roman"/>
          <w:color w:val="000000"/>
          <w:kern w:val="0"/>
          <w:shd w:val="clear" w:color="auto" w:fill="FFFFFF"/>
          <w14:ligatures w14:val="none"/>
        </w:rPr>
        <w:t xml:space="preserve">to reflect how indirect costs will be calculated and charged under the grant.   </w:t>
      </w:r>
      <w:r w:rsidRPr="006E3570">
        <w:rPr>
          <w:rFonts w:ascii="Times New Roman" w:eastAsia="Times New Roman" w:hAnsi="Times New Roman" w:cs="Times New Roman"/>
          <w:kern w:val="0"/>
          <w14:ligatures w14:val="none"/>
        </w:rPr>
        <w:t>Complete this section in full by applying the authorized official’s name, title, date, and signature.  The selection reflected in the Indirect Cost Rate Addendum should match what was stated in the project application as it relates to the indirect cost rate.</w:t>
      </w:r>
    </w:p>
    <w:p w14:paraId="5113DFE3" w14:textId="77777777" w:rsidR="006E3570" w:rsidRPr="006E3570" w:rsidRDefault="006E3570" w:rsidP="006E3570">
      <w:pPr>
        <w:pStyle w:val="ListParagraph"/>
        <w:rPr>
          <w:rFonts w:ascii="Times New Roman" w:eastAsia="Times New Roman" w:hAnsi="Times New Roman" w:cs="Times New Roman"/>
          <w:color w:val="000000"/>
          <w:kern w:val="0"/>
          <w14:ligatures w14:val="none"/>
        </w:rPr>
      </w:pPr>
    </w:p>
    <w:p w14:paraId="646D52F1" w14:textId="72F77445" w:rsidR="006E3570" w:rsidRPr="006E3570" w:rsidRDefault="006E3570" w:rsidP="006E3570">
      <w:pPr>
        <w:pStyle w:val="ListParagraph"/>
        <w:numPr>
          <w:ilvl w:val="0"/>
          <w:numId w:val="5"/>
        </w:numPr>
        <w:spacing w:before="100" w:beforeAutospacing="1" w:after="100" w:afterAutospacing="1" w:line="240" w:lineRule="auto"/>
        <w:rPr>
          <w:rFonts w:ascii="Times New Roman" w:eastAsia="Times New Roman" w:hAnsi="Times New Roman" w:cs="Times New Roman"/>
          <w:color w:val="000000"/>
          <w:kern w:val="0"/>
          <w14:ligatures w14:val="none"/>
        </w:rPr>
      </w:pPr>
      <w:r w:rsidRPr="006E3570">
        <w:rPr>
          <w:rFonts w:ascii="Times New Roman" w:hAnsi="Times New Roman" w:cs="Times New Roman"/>
          <w:b/>
          <w:bCs/>
        </w:rPr>
        <w:t>Financial Information</w:t>
      </w:r>
      <w:r w:rsidRPr="006E3570">
        <w:rPr>
          <w:rFonts w:ascii="Times New Roman" w:hAnsi="Times New Roman" w:cs="Times New Roman"/>
        </w:rPr>
        <w:t xml:space="preserve"> is only required if your organization has made staffing or banking changes.  Please ensure that the appropriate staff have </w:t>
      </w:r>
      <w:proofErr w:type="spellStart"/>
      <w:proofErr w:type="gramStart"/>
      <w:r w:rsidRPr="006E3570">
        <w:rPr>
          <w:rFonts w:ascii="Times New Roman" w:hAnsi="Times New Roman" w:cs="Times New Roman"/>
        </w:rPr>
        <w:t>eLOCCS</w:t>
      </w:r>
      <w:proofErr w:type="spellEnd"/>
      <w:r w:rsidRPr="006E3570">
        <w:rPr>
          <w:rFonts w:ascii="Times New Roman" w:hAnsi="Times New Roman" w:cs="Times New Roman"/>
        </w:rPr>
        <w:t xml:space="preserve"> access</w:t>
      </w:r>
      <w:proofErr w:type="gramEnd"/>
      <w:r w:rsidRPr="006E3570">
        <w:rPr>
          <w:rFonts w:ascii="Times New Roman" w:hAnsi="Times New Roman" w:cs="Times New Roman"/>
        </w:rPr>
        <w:t>.  The Financial Instructions (</w:t>
      </w:r>
      <w:proofErr w:type="spellStart"/>
      <w:r w:rsidRPr="006E3570">
        <w:rPr>
          <w:rFonts w:ascii="Times New Roman" w:hAnsi="Times New Roman" w:cs="Times New Roman"/>
        </w:rPr>
        <w:t>eLOCCS</w:t>
      </w:r>
      <w:proofErr w:type="spellEnd"/>
      <w:r w:rsidRPr="006E3570">
        <w:rPr>
          <w:rFonts w:ascii="Times New Roman" w:hAnsi="Times New Roman" w:cs="Times New Roman"/>
        </w:rPr>
        <w:t xml:space="preserve"> and Secure System) are available </w:t>
      </w:r>
      <w:hyperlink r:id="rId7" w:anchor="1" w:history="1">
        <w:r w:rsidRPr="006E3570">
          <w:rPr>
            <w:rFonts w:ascii="Times New Roman" w:hAnsi="Times New Roman" w:cs="Times New Roman"/>
            <w:color w:val="467886" w:themeColor="hyperlink"/>
            <w:u w:val="single"/>
          </w:rPr>
          <w:t>here</w:t>
        </w:r>
      </w:hyperlink>
      <w:r w:rsidRPr="006E3570">
        <w:rPr>
          <w:rFonts w:ascii="Times New Roman" w:hAnsi="Times New Roman" w:cs="Times New Roman"/>
        </w:rPr>
        <w:t>.  Please complete these forms, only as needed, and submit them to our Office for processing</w:t>
      </w:r>
    </w:p>
    <w:p w14:paraId="006071FD" w14:textId="77777777" w:rsidR="006E3570" w:rsidRPr="006E3570" w:rsidRDefault="006E3570" w:rsidP="006E3570">
      <w:pPr>
        <w:pStyle w:val="ListParagraph"/>
        <w:spacing w:before="100" w:beforeAutospacing="1" w:after="100" w:afterAutospacing="1" w:line="240" w:lineRule="auto"/>
        <w:ind w:left="1080"/>
        <w:rPr>
          <w:rFonts w:ascii="Times New Roman" w:eastAsia="Times New Roman" w:hAnsi="Times New Roman" w:cs="Times New Roman"/>
          <w:kern w:val="0"/>
        </w:rPr>
      </w:pPr>
    </w:p>
    <w:p w14:paraId="4D8DCE2A" w14:textId="3E9D335B" w:rsidR="006E3570" w:rsidRPr="006E3570" w:rsidRDefault="00CC24B7" w:rsidP="006E3570">
      <w:pPr>
        <w:pStyle w:val="ListParagraph"/>
        <w:numPr>
          <w:ilvl w:val="0"/>
          <w:numId w:val="5"/>
        </w:numPr>
        <w:spacing w:before="100" w:beforeAutospacing="1" w:after="100" w:afterAutospacing="1" w:line="240" w:lineRule="auto"/>
        <w:rPr>
          <w:rFonts w:ascii="Times New Roman" w:eastAsia="Times New Roman" w:hAnsi="Times New Roman" w:cs="Times New Roman"/>
          <w:kern w:val="0"/>
        </w:rPr>
      </w:pPr>
      <w:r w:rsidRPr="006E3570">
        <w:rPr>
          <w:rFonts w:ascii="Times New Roman" w:eastAsia="Times New Roman" w:hAnsi="Times New Roman" w:cs="Times New Roman"/>
          <w:b/>
          <w:bCs/>
          <w:kern w:val="0"/>
        </w:rPr>
        <w:t xml:space="preserve">Funds may only be drawn down </w:t>
      </w:r>
      <w:r w:rsidRPr="006E3570">
        <w:rPr>
          <w:rFonts w:ascii="Times New Roman" w:eastAsia="Times New Roman" w:hAnsi="Times New Roman" w:cs="Times New Roman"/>
          <w:b/>
          <w:bCs/>
          <w:kern w:val="0"/>
          <w:u w:val="single"/>
        </w:rPr>
        <w:t>after</w:t>
      </w:r>
      <w:r w:rsidRPr="006E3570">
        <w:rPr>
          <w:rFonts w:ascii="Times New Roman" w:eastAsia="Times New Roman" w:hAnsi="Times New Roman" w:cs="Times New Roman"/>
          <w:b/>
          <w:bCs/>
          <w:kern w:val="0"/>
        </w:rPr>
        <w:t xml:space="preserve"> full execution of the grant agreement, after the expiration of the prior grant’s Period of Performance and the start of the renewal grant’s Period of Performance.  </w:t>
      </w:r>
    </w:p>
    <w:p w14:paraId="27FC9836" w14:textId="77777777" w:rsidR="006E3570" w:rsidRPr="006E3570" w:rsidRDefault="006E3570" w:rsidP="006E3570">
      <w:pPr>
        <w:pStyle w:val="ListParagraph"/>
        <w:spacing w:before="100" w:beforeAutospacing="1" w:after="120" w:line="240" w:lineRule="auto"/>
        <w:ind w:left="1080"/>
        <w:rPr>
          <w:rFonts w:ascii="Times New Roman" w:eastAsia="Times New Roman" w:hAnsi="Times New Roman" w:cs="Times New Roman"/>
          <w:kern w:val="0"/>
          <w:u w:val="single"/>
        </w:rPr>
      </w:pPr>
    </w:p>
    <w:p w14:paraId="53864C82" w14:textId="2FC8088B" w:rsidR="00CC24B7" w:rsidRPr="006E3570" w:rsidRDefault="00CC24B7" w:rsidP="006E3570">
      <w:pPr>
        <w:pStyle w:val="ListParagraph"/>
        <w:numPr>
          <w:ilvl w:val="0"/>
          <w:numId w:val="5"/>
        </w:numPr>
        <w:spacing w:before="100" w:beforeAutospacing="1" w:after="120" w:line="240" w:lineRule="auto"/>
        <w:rPr>
          <w:rFonts w:ascii="Times New Roman" w:eastAsia="Times New Roman" w:hAnsi="Times New Roman" w:cs="Times New Roman"/>
          <w:kern w:val="0"/>
          <w:u w:val="single"/>
        </w:rPr>
      </w:pPr>
      <w:r w:rsidRPr="006E3570">
        <w:rPr>
          <w:rFonts w:ascii="Times New Roman" w:eastAsia="Times New Roman" w:hAnsi="Times New Roman" w:cs="Times New Roman"/>
          <w:b/>
          <w:bCs/>
          <w:kern w:val="0"/>
        </w:rPr>
        <w:t xml:space="preserve">Your UNIQUE ENTITY IDENTIFIER (UEI) NUMBER (formerly DUNS) must be active in SAMS </w:t>
      </w:r>
      <w:r w:rsidRPr="006E3570">
        <w:rPr>
          <w:rFonts w:ascii="Times New Roman" w:eastAsia="Times New Roman" w:hAnsi="Times New Roman" w:cs="Times New Roman"/>
          <w:kern w:val="0"/>
        </w:rPr>
        <w:t>(</w:t>
      </w:r>
      <w:hyperlink r:id="rId8" w:history="1">
        <w:r w:rsidRPr="006E3570">
          <w:rPr>
            <w:rFonts w:ascii="Times New Roman" w:eastAsia="Times New Roman" w:hAnsi="Times New Roman" w:cs="Times New Roman"/>
            <w:color w:val="467886" w:themeColor="hyperlink"/>
            <w:kern w:val="0"/>
            <w:u w:val="single"/>
          </w:rPr>
          <w:t>https://www.sam.gov/SAM/</w:t>
        </w:r>
      </w:hyperlink>
      <w:r w:rsidRPr="006E3570">
        <w:rPr>
          <w:rFonts w:ascii="Times New Roman" w:hAnsi="Times New Roman" w:cs="Times New Roman"/>
          <w:kern w:val="0"/>
        </w:rPr>
        <w:t>)</w:t>
      </w:r>
      <w:r w:rsidRPr="006E3570">
        <w:rPr>
          <w:rFonts w:ascii="Times New Roman" w:eastAsia="Times New Roman" w:hAnsi="Times New Roman" w:cs="Times New Roman"/>
          <w:kern w:val="0"/>
        </w:rPr>
        <w:t xml:space="preserve">.   Currently, the system shows that </w:t>
      </w:r>
      <w:r w:rsidRPr="006E3570">
        <w:rPr>
          <w:rFonts w:ascii="Times New Roman" w:eastAsia="Times New Roman" w:hAnsi="Times New Roman" w:cs="Times New Roman"/>
          <w:b/>
          <w:bCs/>
          <w:kern w:val="0"/>
        </w:rPr>
        <w:lastRenderedPageBreak/>
        <w:t xml:space="preserve">your UEI is active:   </w:t>
      </w:r>
      <w:r w:rsidRPr="006E3570">
        <w:rPr>
          <w:rFonts w:ascii="Times New Roman" w:eastAsia="Times New Roman" w:hAnsi="Times New Roman" w:cs="Times New Roman"/>
          <w:kern w:val="0"/>
          <w:u w:val="single"/>
        </w:rPr>
        <w:t xml:space="preserve">Please ensure that your UEI status remains active for the entire Period of Performance. </w:t>
      </w:r>
    </w:p>
    <w:p w14:paraId="6231F0EA" w14:textId="77777777" w:rsidR="00CC24B7" w:rsidRPr="00CC24B7" w:rsidRDefault="00CC24B7" w:rsidP="00CC24B7">
      <w:pPr>
        <w:spacing w:before="100" w:beforeAutospacing="1" w:after="120" w:line="240" w:lineRule="atLeast"/>
        <w:ind w:firstLine="630"/>
        <w:rPr>
          <w:rFonts w:ascii="Times New Roman" w:eastAsia="Times New Roman" w:hAnsi="Times New Roman" w:cs="Times New Roman"/>
          <w:kern w:val="0"/>
        </w:rPr>
      </w:pPr>
      <w:r w:rsidRPr="00CC24B7">
        <w:rPr>
          <w:rFonts w:ascii="Times New Roman" w:eastAsia="Times New Roman" w:hAnsi="Times New Roman" w:cs="Times New Roman"/>
          <w:kern w:val="0"/>
        </w:rPr>
        <w:t xml:space="preserve">Additional important information and reminders for administering your CoC program funds are available below.  </w:t>
      </w:r>
    </w:p>
    <w:p w14:paraId="30F42B1C" w14:textId="19571F3D" w:rsidR="00CC24B7" w:rsidRPr="00CC24B7" w:rsidRDefault="00CC24B7" w:rsidP="00CC24B7">
      <w:pPr>
        <w:spacing w:line="259" w:lineRule="auto"/>
        <w:ind w:firstLine="720"/>
        <w:rPr>
          <w:rFonts w:ascii="Times New Roman" w:hAnsi="Times New Roman" w:cs="Times New Roman"/>
          <w:color w:val="000000"/>
          <w:kern w:val="0"/>
        </w:rPr>
      </w:pPr>
      <w:r w:rsidRPr="00CC24B7">
        <w:rPr>
          <w:rFonts w:ascii="Times New Roman" w:hAnsi="Times New Roman" w:cs="Times New Roman"/>
          <w:color w:val="000000"/>
          <w:kern w:val="0"/>
          <w:shd w:val="clear" w:color="auto" w:fill="FFFFFF"/>
        </w:rPr>
        <w:t xml:space="preserve">HUD congratulates </w:t>
      </w:r>
      <w:r w:rsidRPr="00CC24B7">
        <w:rPr>
          <w:rFonts w:ascii="Times New Roman" w:hAnsi="Times New Roman" w:cs="Times New Roman"/>
          <w:kern w:val="0"/>
          <w:shd w:val="clear" w:color="auto" w:fill="FFFFFF"/>
        </w:rPr>
        <w:t xml:space="preserve">your organization </w:t>
      </w:r>
      <w:r w:rsidRPr="00CC24B7">
        <w:rPr>
          <w:rFonts w:ascii="Times New Roman" w:hAnsi="Times New Roman" w:cs="Times New Roman"/>
          <w:color w:val="000000"/>
          <w:kern w:val="0"/>
          <w:shd w:val="clear" w:color="auto" w:fill="FFFFFF"/>
        </w:rPr>
        <w:t>on your grant award, and we look forward to assisting you in administering your grants and accomplishing your program goals.</w:t>
      </w:r>
      <w:r>
        <w:rPr>
          <w:rFonts w:ascii="Times New Roman" w:hAnsi="Times New Roman" w:cs="Times New Roman"/>
          <w:color w:val="000000"/>
          <w:kern w:val="0"/>
          <w:shd w:val="clear" w:color="auto" w:fill="FFFFFF"/>
        </w:rPr>
        <w:t xml:space="preserve"> </w:t>
      </w:r>
      <w:r w:rsidRPr="00CC24B7">
        <w:rPr>
          <w:rFonts w:ascii="Times New Roman" w:hAnsi="Times New Roman" w:cs="Times New Roman"/>
          <w:color w:val="000000"/>
          <w:kern w:val="0"/>
          <w:shd w:val="clear" w:color="auto" w:fill="FFFFFF"/>
        </w:rPr>
        <w:t xml:space="preserve"> If you have any questions or need further information or assistance, please contact </w:t>
      </w:r>
      <w:r w:rsidR="00DC4F19">
        <w:rPr>
          <w:rFonts w:ascii="Times New Roman" w:hAnsi="Times New Roman" w:cs="Times New Roman"/>
          <w:b/>
          <w:bCs/>
          <w:color w:val="000000"/>
          <w:kern w:val="0"/>
          <w:shd w:val="clear" w:color="auto" w:fill="FFFFFF"/>
        </w:rPr>
        <w:t>XXXXXXXX</w:t>
      </w:r>
      <w:r w:rsidR="00A76DD3" w:rsidRPr="00A76DD3">
        <w:rPr>
          <w:rFonts w:ascii="Times New Roman" w:hAnsi="Times New Roman" w:cs="Times New Roman"/>
          <w:b/>
          <w:bCs/>
          <w:color w:val="000000"/>
          <w:kern w:val="0"/>
          <w:shd w:val="clear" w:color="auto" w:fill="FFFFFF"/>
        </w:rPr>
        <w:t xml:space="preserve">, </w:t>
      </w:r>
      <w:r w:rsidRPr="00CC24B7">
        <w:rPr>
          <w:rFonts w:ascii="Times New Roman" w:hAnsi="Times New Roman" w:cs="Times New Roman"/>
          <w:color w:val="000000"/>
          <w:kern w:val="0"/>
          <w:shd w:val="clear" w:color="auto" w:fill="FFFFFF"/>
        </w:rPr>
        <w:t xml:space="preserve">your assigned CPD Representative in our office. </w:t>
      </w:r>
    </w:p>
    <w:p w14:paraId="22268C71" w14:textId="28944A2F" w:rsidR="00CC24B7" w:rsidRPr="00CC24B7" w:rsidRDefault="00CC24B7">
      <w:pPr>
        <w:rPr>
          <w:rFonts w:ascii="Times New Roman" w:eastAsia="Times New Roman" w:hAnsi="Times New Roman" w:cs="Times New Roman"/>
          <w:kern w:val="0"/>
        </w:rPr>
      </w:pPr>
      <w:r w:rsidRPr="00CC24B7">
        <w:rPr>
          <w:rFonts w:ascii="Times New Roman" w:eastAsia="Times New Roman" w:hAnsi="Times New Roman" w:cs="Times New Roman"/>
          <w:kern w:val="0"/>
        </w:rPr>
        <w:br w:type="page"/>
      </w:r>
    </w:p>
    <w:p w14:paraId="5BEEAB57" w14:textId="77777777" w:rsidR="00CC24B7" w:rsidRPr="00CC24B7" w:rsidRDefault="00CC24B7" w:rsidP="00CC24B7">
      <w:pPr>
        <w:spacing w:before="100" w:beforeAutospacing="1" w:after="120" w:line="240" w:lineRule="atLeast"/>
        <w:rPr>
          <w:rFonts w:ascii="Times New Roman" w:eastAsia="Times New Roman" w:hAnsi="Times New Roman" w:cs="Times New Roman"/>
          <w:kern w:val="0"/>
          <w:sz w:val="22"/>
          <w:szCs w:val="22"/>
        </w:rPr>
      </w:pPr>
    </w:p>
    <w:p w14:paraId="3BE69887" w14:textId="77777777" w:rsidR="00CC24B7" w:rsidRPr="00CC24B7" w:rsidRDefault="00CC24B7" w:rsidP="00CC24B7">
      <w:pPr>
        <w:spacing w:line="259" w:lineRule="auto"/>
        <w:jc w:val="center"/>
        <w:rPr>
          <w:rFonts w:ascii="Times New Roman" w:hAnsi="Times New Roman" w:cs="Times New Roman"/>
          <w:b/>
          <w:bCs/>
          <w:color w:val="156082" w:themeColor="accent1"/>
          <w:kern w:val="0"/>
          <w:sz w:val="28"/>
          <w:szCs w:val="28"/>
        </w:rPr>
      </w:pPr>
      <w:r w:rsidRPr="00CC24B7">
        <w:rPr>
          <w:rFonts w:ascii="Times New Roman" w:hAnsi="Times New Roman" w:cs="Times New Roman"/>
          <w:b/>
          <w:bCs/>
          <w:color w:val="156082" w:themeColor="accent1"/>
          <w:kern w:val="0"/>
          <w:sz w:val="28"/>
          <w:szCs w:val="28"/>
        </w:rPr>
        <w:t>Administering CoC Program Funds:</w:t>
      </w:r>
      <w:r w:rsidRPr="00CC24B7">
        <w:rPr>
          <w:rFonts w:ascii="Times New Roman" w:hAnsi="Times New Roman" w:cs="Times New Roman"/>
          <w:b/>
          <w:bCs/>
          <w:color w:val="156082" w:themeColor="accent1"/>
          <w:kern w:val="0"/>
          <w:sz w:val="28"/>
          <w:szCs w:val="28"/>
        </w:rPr>
        <w:br/>
        <w:t>Additional Information and Reminders</w:t>
      </w:r>
    </w:p>
    <w:tbl>
      <w:tblPr>
        <w:tblStyle w:val="TableGrid"/>
        <w:tblW w:w="10800" w:type="dxa"/>
        <w:tblInd w:w="-725" w:type="dxa"/>
        <w:tblLook w:val="04A0" w:firstRow="1" w:lastRow="0" w:firstColumn="1" w:lastColumn="0" w:noHBand="0" w:noVBand="1"/>
      </w:tblPr>
      <w:tblGrid>
        <w:gridCol w:w="4050"/>
        <w:gridCol w:w="6750"/>
      </w:tblGrid>
      <w:tr w:rsidR="00CC24B7" w:rsidRPr="00CC24B7" w14:paraId="0C6217EF" w14:textId="77777777" w:rsidTr="00DA4C7D">
        <w:trPr>
          <w:trHeight w:val="395"/>
        </w:trPr>
        <w:tc>
          <w:tcPr>
            <w:tcW w:w="10800" w:type="dxa"/>
            <w:gridSpan w:val="2"/>
            <w:shd w:val="clear" w:color="auto" w:fill="F6C5AC" w:themeFill="accent2" w:themeFillTint="66"/>
            <w:vAlign w:val="center"/>
          </w:tcPr>
          <w:p w14:paraId="187645D7" w14:textId="77777777" w:rsidR="00CC24B7" w:rsidRPr="00CC24B7" w:rsidRDefault="00CC24B7" w:rsidP="00CC24B7">
            <w:pPr>
              <w:jc w:val="center"/>
              <w:rPr>
                <w:rFonts w:ascii="Times New Roman" w:hAnsi="Times New Roman" w:cs="Times New Roman"/>
                <w:color w:val="156082" w:themeColor="accent1"/>
                <w:kern w:val="0"/>
              </w:rPr>
            </w:pPr>
            <w:r w:rsidRPr="00CC24B7">
              <w:rPr>
                <w:rFonts w:ascii="Times New Roman" w:hAnsi="Times New Roman" w:cs="Times New Roman"/>
                <w:b/>
                <w:bCs/>
                <w:color w:val="156082" w:themeColor="accent1"/>
                <w:kern w:val="0"/>
              </w:rPr>
              <w:t>CoC Specific Requirements</w:t>
            </w:r>
          </w:p>
        </w:tc>
      </w:tr>
      <w:tr w:rsidR="00CC24B7" w:rsidRPr="00CC24B7" w14:paraId="0008EC86" w14:textId="77777777" w:rsidTr="00DA4C7D">
        <w:tc>
          <w:tcPr>
            <w:tcW w:w="4050" w:type="dxa"/>
            <w:shd w:val="clear" w:color="auto" w:fill="FAE2D5" w:themeFill="accent2" w:themeFillTint="33"/>
          </w:tcPr>
          <w:p w14:paraId="2A3CE299"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FY2024 CoC NOFO</w:t>
            </w:r>
          </w:p>
        </w:tc>
        <w:tc>
          <w:tcPr>
            <w:tcW w:w="6750" w:type="dxa"/>
            <w:shd w:val="clear" w:color="auto" w:fill="FAE2D5" w:themeFill="accent2" w:themeFillTint="33"/>
          </w:tcPr>
          <w:p w14:paraId="7CCDD8F3" w14:textId="77777777" w:rsidR="00CC24B7" w:rsidRPr="00CC24B7" w:rsidRDefault="00CC24B7" w:rsidP="00CC24B7">
            <w:pPr>
              <w:rPr>
                <w:rFonts w:ascii="Times New Roman" w:hAnsi="Times New Roman" w:cs="Times New Roman"/>
                <w:b/>
                <w:bCs/>
                <w:color w:val="000000"/>
                <w:kern w:val="0"/>
                <w:u w:val="single"/>
              </w:rPr>
            </w:pPr>
            <w:r w:rsidRPr="00CC24B7">
              <w:rPr>
                <w:rFonts w:ascii="Times New Roman" w:hAnsi="Times New Roman" w:cs="Times New Roman"/>
                <w:color w:val="000000"/>
                <w:kern w:val="0"/>
              </w:rPr>
              <w:t xml:space="preserve">2024 CoC funds must be administered in accordance with the FY2024 CoC NOFO, available </w:t>
            </w:r>
            <w:hyperlink r:id="rId9" w:history="1">
              <w:r w:rsidRPr="00CC24B7">
                <w:rPr>
                  <w:rFonts w:ascii="Times New Roman" w:hAnsi="Times New Roman" w:cs="Times New Roman"/>
                  <w:color w:val="467886" w:themeColor="hyperlink"/>
                  <w:kern w:val="0"/>
                  <w:u w:val="single"/>
                </w:rPr>
                <w:t>here</w:t>
              </w:r>
            </w:hyperlink>
            <w:r w:rsidRPr="00CC24B7">
              <w:rPr>
                <w:rFonts w:ascii="Times New Roman" w:hAnsi="Times New Roman" w:cs="Times New Roman"/>
                <w:color w:val="000000"/>
                <w:kern w:val="0"/>
              </w:rPr>
              <w:t>, and the issues and conditions contained in the grant agreement.</w:t>
            </w:r>
          </w:p>
        </w:tc>
      </w:tr>
      <w:tr w:rsidR="00CC24B7" w:rsidRPr="00CC24B7" w14:paraId="5EE332D9" w14:textId="77777777" w:rsidTr="00DA4C7D">
        <w:tc>
          <w:tcPr>
            <w:tcW w:w="4050" w:type="dxa"/>
            <w:shd w:val="clear" w:color="auto" w:fill="FAE2D5" w:themeFill="accent2" w:themeFillTint="33"/>
          </w:tcPr>
          <w:p w14:paraId="71668919"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CoC Program Regulations</w:t>
            </w:r>
          </w:p>
        </w:tc>
        <w:tc>
          <w:tcPr>
            <w:tcW w:w="6750" w:type="dxa"/>
            <w:shd w:val="clear" w:color="auto" w:fill="FAE2D5" w:themeFill="accent2" w:themeFillTint="33"/>
          </w:tcPr>
          <w:p w14:paraId="05A67BAC" w14:textId="77777777" w:rsidR="00CC24B7" w:rsidRPr="00CC24B7" w:rsidRDefault="00CC24B7" w:rsidP="00CC24B7">
            <w:pPr>
              <w:autoSpaceDE w:val="0"/>
              <w:autoSpaceDN w:val="0"/>
              <w:rPr>
                <w:rFonts w:ascii="Times New Roman" w:hAnsi="Times New Roman" w:cs="Times New Roman"/>
                <w:kern w:val="0"/>
              </w:rPr>
            </w:pPr>
            <w:r w:rsidRPr="00CC24B7">
              <w:rPr>
                <w:rFonts w:ascii="Times New Roman" w:hAnsi="Times New Roman" w:cs="Times New Roman"/>
                <w:kern w:val="0"/>
              </w:rPr>
              <w:t xml:space="preserve">The CoC Interim Rule is available in 24 CFR </w:t>
            </w:r>
            <w:r w:rsidRPr="00CC24B7">
              <w:rPr>
                <w:rFonts w:ascii="Times New Roman" w:eastAsia="Times New Roman" w:hAnsi="Times New Roman" w:cs="Times New Roman"/>
                <w:color w:val="000000"/>
                <w:kern w:val="0"/>
              </w:rPr>
              <w:t>§</w:t>
            </w:r>
            <w:r w:rsidRPr="00CC24B7">
              <w:rPr>
                <w:rFonts w:ascii="Times New Roman" w:hAnsi="Times New Roman" w:cs="Times New Roman"/>
                <w:kern w:val="0"/>
              </w:rPr>
              <w:t xml:space="preserve">578 </w:t>
            </w:r>
            <w:hyperlink r:id="rId10" w:history="1">
              <w:r w:rsidRPr="00CC24B7">
                <w:rPr>
                  <w:rFonts w:ascii="Times New Roman" w:hAnsi="Times New Roman" w:cs="Times New Roman"/>
                  <w:color w:val="467886" w:themeColor="hyperlink"/>
                  <w:kern w:val="0"/>
                  <w:u w:val="single"/>
                </w:rPr>
                <w:t>here</w:t>
              </w:r>
            </w:hyperlink>
            <w:r w:rsidRPr="00CC24B7">
              <w:rPr>
                <w:rFonts w:ascii="Times New Roman" w:hAnsi="Times New Roman" w:cs="Times New Roman"/>
                <w:kern w:val="0"/>
              </w:rPr>
              <w:t>.</w:t>
            </w:r>
          </w:p>
        </w:tc>
      </w:tr>
      <w:tr w:rsidR="00CC24B7" w:rsidRPr="00CC24B7" w14:paraId="26B8932C" w14:textId="77777777" w:rsidTr="00DA4C7D">
        <w:tc>
          <w:tcPr>
            <w:tcW w:w="4050" w:type="dxa"/>
            <w:shd w:val="clear" w:color="auto" w:fill="FAE2D5" w:themeFill="accent2" w:themeFillTint="33"/>
          </w:tcPr>
          <w:p w14:paraId="4D22A5F8"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Definition of “Homelessness” and Recordkeeping Requirements</w:t>
            </w:r>
          </w:p>
        </w:tc>
        <w:tc>
          <w:tcPr>
            <w:tcW w:w="6750" w:type="dxa"/>
            <w:shd w:val="clear" w:color="auto" w:fill="FAE2D5" w:themeFill="accent2" w:themeFillTint="33"/>
          </w:tcPr>
          <w:p w14:paraId="4545ED97" w14:textId="77777777" w:rsidR="00CC24B7" w:rsidRPr="00CC24B7" w:rsidRDefault="00CC24B7" w:rsidP="00CC24B7">
            <w:pPr>
              <w:autoSpaceDE w:val="0"/>
              <w:autoSpaceDN w:val="0"/>
              <w:rPr>
                <w:rFonts w:ascii="Times New Roman" w:hAnsi="Times New Roman" w:cs="Times New Roman"/>
                <w:color w:val="000000"/>
                <w:kern w:val="0"/>
              </w:rPr>
            </w:pPr>
            <w:r w:rsidRPr="00CC24B7">
              <w:rPr>
                <w:rFonts w:ascii="Times New Roman" w:hAnsi="Times New Roman" w:cs="Times New Roman"/>
                <w:kern w:val="0"/>
              </w:rPr>
              <w:t xml:space="preserve">A helpful summary of the CoC Criteria for Defining Homelessness and the corresponding Recordkeeping Requirements is available here:  </w:t>
            </w:r>
            <w:hyperlink r:id="rId11" w:history="1">
              <w:r w:rsidRPr="00CC24B7">
                <w:rPr>
                  <w:rFonts w:ascii="Times New Roman" w:hAnsi="Times New Roman" w:cs="Times New Roman"/>
                  <w:color w:val="467886" w:themeColor="hyperlink"/>
                  <w:kern w:val="0"/>
                  <w:u w:val="single"/>
                </w:rPr>
                <w:t xml:space="preserve">At a </w:t>
              </w:r>
              <w:proofErr w:type="spellStart"/>
              <w:r w:rsidRPr="00CC24B7">
                <w:rPr>
                  <w:rFonts w:ascii="Times New Roman" w:hAnsi="Times New Roman" w:cs="Times New Roman"/>
                  <w:color w:val="467886" w:themeColor="hyperlink"/>
                  <w:kern w:val="0"/>
                  <w:u w:val="single"/>
                </w:rPr>
                <w:t>Glance_Criteria</w:t>
              </w:r>
              <w:proofErr w:type="spellEnd"/>
              <w:r w:rsidRPr="00CC24B7">
                <w:rPr>
                  <w:rFonts w:ascii="Times New Roman" w:hAnsi="Times New Roman" w:cs="Times New Roman"/>
                  <w:color w:val="467886" w:themeColor="hyperlink"/>
                  <w:kern w:val="0"/>
                  <w:u w:val="single"/>
                </w:rPr>
                <w:t xml:space="preserve"> and Recordkeeping Requirements for Definition of Homeless (hudexchange.info)</w:t>
              </w:r>
            </w:hyperlink>
            <w:r w:rsidRPr="00CC24B7">
              <w:rPr>
                <w:rFonts w:ascii="Times New Roman" w:hAnsi="Times New Roman" w:cs="Times New Roman"/>
                <w:color w:val="000000"/>
                <w:kern w:val="0"/>
              </w:rPr>
              <w:t>.</w:t>
            </w:r>
          </w:p>
        </w:tc>
      </w:tr>
      <w:tr w:rsidR="00CC24B7" w:rsidRPr="00CC24B7" w14:paraId="47CAFCA8" w14:textId="77777777" w:rsidTr="00DA4C7D">
        <w:tc>
          <w:tcPr>
            <w:tcW w:w="4050" w:type="dxa"/>
            <w:shd w:val="clear" w:color="auto" w:fill="FAE2D5" w:themeFill="accent2" w:themeFillTint="33"/>
          </w:tcPr>
          <w:p w14:paraId="11F2C63F"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CoC Virtual Binders</w:t>
            </w:r>
          </w:p>
        </w:tc>
        <w:tc>
          <w:tcPr>
            <w:tcW w:w="6750" w:type="dxa"/>
            <w:shd w:val="clear" w:color="auto" w:fill="FAE2D5" w:themeFill="accent2" w:themeFillTint="33"/>
          </w:tcPr>
          <w:p w14:paraId="29AC0866" w14:textId="38D935CC" w:rsidR="00CC24B7" w:rsidRPr="00CC24B7" w:rsidRDefault="00CC24B7" w:rsidP="00CC24B7">
            <w:pPr>
              <w:autoSpaceDE w:val="0"/>
              <w:autoSpaceDN w:val="0"/>
              <w:rPr>
                <w:rFonts w:ascii="Times New Roman" w:hAnsi="Times New Roman" w:cs="Times New Roman"/>
                <w:kern w:val="0"/>
              </w:rPr>
            </w:pPr>
            <w:r w:rsidRPr="00CC24B7">
              <w:rPr>
                <w:rFonts w:ascii="Times New Roman" w:hAnsi="Times New Roman" w:cs="Times New Roman"/>
                <w:kern w:val="0"/>
              </w:rPr>
              <w:t xml:space="preserve">CoC Virtual Binders (available </w:t>
            </w:r>
            <w:hyperlink r:id="rId12" w:history="1">
              <w:r w:rsidRPr="00CC24B7">
                <w:rPr>
                  <w:rFonts w:ascii="Times New Roman" w:hAnsi="Times New Roman" w:cs="Times New Roman"/>
                  <w:color w:val="467886" w:themeColor="hyperlink"/>
                  <w:kern w:val="0"/>
                  <w:u w:val="single"/>
                </w:rPr>
                <w:t>here</w:t>
              </w:r>
            </w:hyperlink>
            <w:r w:rsidRPr="00CC24B7">
              <w:rPr>
                <w:rFonts w:ascii="Times New Roman" w:hAnsi="Times New Roman" w:cs="Times New Roman"/>
                <w:kern w:val="0"/>
              </w:rPr>
              <w:t>) cover foundational topics from the CoC program, with the goal to transfer basic knowledge to grantees in order to more successfully administer their projects.</w:t>
            </w:r>
            <w:r>
              <w:rPr>
                <w:rFonts w:ascii="Times New Roman" w:hAnsi="Times New Roman" w:cs="Times New Roman"/>
                <w:kern w:val="0"/>
              </w:rPr>
              <w:t xml:space="preserve"> </w:t>
            </w:r>
            <w:r w:rsidRPr="00CC24B7">
              <w:rPr>
                <w:rFonts w:ascii="Times New Roman" w:hAnsi="Times New Roman" w:cs="Times New Roman"/>
                <w:kern w:val="0"/>
              </w:rPr>
              <w:t xml:space="preserve"> Each binder reflects a range of learning styles and offers a variety of ways to interact with the topics. </w:t>
            </w:r>
          </w:p>
        </w:tc>
      </w:tr>
      <w:tr w:rsidR="00CC24B7" w:rsidRPr="00CC24B7" w14:paraId="21C2D38D" w14:textId="77777777" w:rsidTr="00DA4C7D">
        <w:tc>
          <w:tcPr>
            <w:tcW w:w="4050" w:type="dxa"/>
            <w:shd w:val="clear" w:color="auto" w:fill="FAE2D5" w:themeFill="accent2" w:themeFillTint="33"/>
          </w:tcPr>
          <w:p w14:paraId="514B9D6F"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Match</w:t>
            </w:r>
          </w:p>
        </w:tc>
        <w:tc>
          <w:tcPr>
            <w:tcW w:w="6750" w:type="dxa"/>
            <w:shd w:val="clear" w:color="auto" w:fill="FAE2D5" w:themeFill="accent2" w:themeFillTint="33"/>
          </w:tcPr>
          <w:p w14:paraId="5CE39472" w14:textId="77777777" w:rsidR="00CC24B7" w:rsidRPr="00CC24B7" w:rsidRDefault="00CC24B7" w:rsidP="00CC24B7">
            <w:pPr>
              <w:rPr>
                <w:rFonts w:ascii="Times New Roman" w:eastAsia="Times New Roman" w:hAnsi="Times New Roman" w:cs="Times New Roman"/>
                <w:kern w:val="0"/>
              </w:rPr>
            </w:pPr>
            <w:r w:rsidRPr="00CC24B7">
              <w:rPr>
                <w:rFonts w:ascii="Times New Roman" w:eastAsia="Times New Roman" w:hAnsi="Times New Roman" w:cs="Times New Roman"/>
                <w:kern w:val="0"/>
                <w:lang w:val="x-none"/>
              </w:rPr>
              <w:t xml:space="preserve">Recipients of new and renewal CoC Program grants must adhere to </w:t>
            </w:r>
            <w:hyperlink r:id="rId13" w:history="1">
              <w:r w:rsidRPr="00CC24B7">
                <w:rPr>
                  <w:rFonts w:ascii="Times New Roman" w:hAnsi="Times New Roman" w:cs="Times New Roman"/>
                  <w:color w:val="467886" w:themeColor="hyperlink"/>
                  <w:kern w:val="0"/>
                  <w:u w:val="single"/>
                </w:rPr>
                <w:t>24 CFR 578.73</w:t>
              </w:r>
            </w:hyperlink>
            <w:r w:rsidRPr="00CC24B7">
              <w:rPr>
                <w:rFonts w:ascii="Times New Roman" w:hAnsi="Times New Roman" w:cs="Times New Roman"/>
                <w:kern w:val="0"/>
              </w:rPr>
              <w:t xml:space="preserve"> </w:t>
            </w:r>
            <w:r w:rsidRPr="00CC24B7">
              <w:rPr>
                <w:rFonts w:ascii="Times New Roman" w:eastAsia="Times New Roman" w:hAnsi="Times New Roman" w:cs="Times New Roman"/>
                <w:kern w:val="0"/>
                <w:lang w:val="x-none"/>
              </w:rPr>
              <w:t xml:space="preserve">and </w:t>
            </w:r>
            <w:hyperlink r:id="rId14" w:history="1">
              <w:r w:rsidRPr="00CC24B7">
                <w:rPr>
                  <w:rFonts w:ascii="Times New Roman" w:eastAsia="Times New Roman" w:hAnsi="Times New Roman" w:cs="Times New Roman"/>
                  <w:color w:val="467886" w:themeColor="hyperlink"/>
                  <w:kern w:val="0"/>
                  <w:u w:val="single"/>
                  <w:lang w:val="x-none"/>
                </w:rPr>
                <w:t>2 CFR 200.306</w:t>
              </w:r>
            </w:hyperlink>
            <w:r w:rsidRPr="00CC24B7">
              <w:rPr>
                <w:rFonts w:ascii="Times New Roman" w:hAnsi="Times New Roman" w:cs="Times New Roman"/>
                <w:kern w:val="0"/>
              </w:rPr>
              <w:t xml:space="preserve"> and must </w:t>
            </w:r>
            <w:r w:rsidRPr="00CC24B7">
              <w:rPr>
                <w:rFonts w:ascii="Times New Roman" w:eastAsia="Times New Roman" w:hAnsi="Times New Roman" w:cs="Times New Roman"/>
                <w:kern w:val="0"/>
                <w:lang w:val="x-none"/>
              </w:rPr>
              <w:t xml:space="preserve">match the total grant, except leasing, with no less than 25 percent cash or in-kind contributions from other sources and match must be used for the eligible CoC Program costs outlined in Subpart D of the CoC Program interim rule.  </w:t>
            </w:r>
            <w:hyperlink r:id="rId15" w:history="1">
              <w:r w:rsidRPr="00CC24B7">
                <w:rPr>
                  <w:rFonts w:ascii="Times New Roman" w:eastAsia="Times New Roman" w:hAnsi="Times New Roman" w:cs="Times New Roman"/>
                  <w:color w:val="467886" w:themeColor="hyperlink"/>
                  <w:kern w:val="0"/>
                  <w:u w:val="single"/>
                  <w:lang w:val="x-none"/>
                </w:rPr>
                <w:t>24 CFR 578.97(c)</w:t>
              </w:r>
            </w:hyperlink>
            <w:r w:rsidRPr="00CC24B7">
              <w:rPr>
                <w:rFonts w:ascii="Times New Roman" w:eastAsia="Times New Roman" w:hAnsi="Times New Roman" w:cs="Times New Roman"/>
                <w:kern w:val="0"/>
                <w:lang w:val="x-none"/>
              </w:rPr>
              <w:t xml:space="preserve"> provides that rents and occupancy charges collected by the recipient or subrecipient from program participants are program income. </w:t>
            </w:r>
            <w:hyperlink r:id="rId16" w:history="1">
              <w:r w:rsidRPr="00CC24B7">
                <w:rPr>
                  <w:rFonts w:ascii="Times New Roman" w:eastAsia="Times New Roman" w:hAnsi="Times New Roman" w:cs="Times New Roman"/>
                  <w:color w:val="467886" w:themeColor="hyperlink"/>
                  <w:kern w:val="0"/>
                  <w:u w:val="single"/>
                </w:rPr>
                <w:t>H.R.4366 - 118th Congress (2023-2024): Consolidated Appropriations Act, 2024 | Congress.gov | Library of Congress</w:t>
              </w:r>
            </w:hyperlink>
            <w:r w:rsidRPr="00CC24B7">
              <w:rPr>
                <w:rFonts w:ascii="Times New Roman" w:eastAsia="Times New Roman" w:hAnsi="Times New Roman" w:cs="Times New Roman"/>
                <w:kern w:val="0"/>
                <w:lang w:val="x-none"/>
              </w:rPr>
              <w:t xml:space="preserve"> </w:t>
            </w:r>
            <w:r w:rsidRPr="00CC24B7">
              <w:rPr>
                <w:rFonts w:ascii="Times New Roman" w:eastAsia="Times New Roman" w:hAnsi="Times New Roman" w:cs="Times New Roman"/>
                <w:kern w:val="0"/>
              </w:rPr>
              <w:t>(Sec. 226) permits costs paid by the program income of grant recipients to count toward the recipient's matching requirements for FY2015-FY2024 Continuum of Care funds.</w:t>
            </w:r>
          </w:p>
        </w:tc>
      </w:tr>
      <w:tr w:rsidR="00CC24B7" w:rsidRPr="00CC24B7" w14:paraId="73138B42" w14:textId="77777777" w:rsidTr="00DA4C7D">
        <w:tc>
          <w:tcPr>
            <w:tcW w:w="4050" w:type="dxa"/>
            <w:shd w:val="clear" w:color="auto" w:fill="FAE2D5" w:themeFill="accent2" w:themeFillTint="33"/>
          </w:tcPr>
          <w:p w14:paraId="4A3A7E8C" w14:textId="77777777" w:rsidR="00CC24B7" w:rsidRPr="00CC24B7" w:rsidRDefault="00CC24B7" w:rsidP="00CC24B7">
            <w:pPr>
              <w:rPr>
                <w:rFonts w:ascii="Times New Roman" w:eastAsia="Times New Roman" w:hAnsi="Times New Roman" w:cs="Times New Roman"/>
                <w:b/>
                <w:bCs/>
                <w:color w:val="156082" w:themeColor="accent1"/>
                <w:kern w:val="0"/>
              </w:rPr>
            </w:pPr>
            <w:r w:rsidRPr="00CC24B7">
              <w:rPr>
                <w:rFonts w:ascii="Times New Roman" w:eastAsia="Times New Roman" w:hAnsi="Times New Roman" w:cs="Times New Roman"/>
                <w:b/>
                <w:bCs/>
                <w:color w:val="156082" w:themeColor="accent1"/>
                <w:kern w:val="0"/>
              </w:rPr>
              <w:t>Quarterly Draw Requirement</w:t>
            </w:r>
          </w:p>
        </w:tc>
        <w:tc>
          <w:tcPr>
            <w:tcW w:w="6750" w:type="dxa"/>
            <w:shd w:val="clear" w:color="auto" w:fill="FAE2D5" w:themeFill="accent2" w:themeFillTint="33"/>
          </w:tcPr>
          <w:p w14:paraId="41158EC9" w14:textId="77777777" w:rsidR="00CC24B7" w:rsidRPr="00CC24B7" w:rsidRDefault="00CC24B7" w:rsidP="00CC24B7">
            <w:pPr>
              <w:autoSpaceDE w:val="0"/>
              <w:autoSpaceDN w:val="0"/>
              <w:rPr>
                <w:rFonts w:ascii="Times New Roman" w:eastAsia="Times New Roman" w:hAnsi="Times New Roman" w:cs="Times New Roman"/>
                <w:color w:val="000000"/>
                <w:kern w:val="0"/>
                <w:lang w:val="x-none"/>
              </w:rPr>
            </w:pPr>
            <w:r w:rsidRPr="00CC24B7">
              <w:rPr>
                <w:rFonts w:ascii="Times New Roman" w:eastAsia="Times New Roman" w:hAnsi="Times New Roman" w:cs="Times New Roman"/>
                <w:color w:val="000000"/>
                <w:kern w:val="0"/>
                <w:lang w:val="x-none"/>
              </w:rPr>
              <w:t xml:space="preserve">The CoC program regulation “timeliness standards” at 24 CFR </w:t>
            </w:r>
            <w:r w:rsidRPr="00CC24B7">
              <w:rPr>
                <w:rFonts w:ascii="Times New Roman" w:eastAsia="Times New Roman" w:hAnsi="Times New Roman" w:cs="Times New Roman"/>
                <w:color w:val="000000"/>
                <w:kern w:val="0"/>
              </w:rPr>
              <w:t xml:space="preserve">§578.85 require recipients to </w:t>
            </w:r>
            <w:r w:rsidRPr="00CC24B7">
              <w:rPr>
                <w:rFonts w:ascii="Times New Roman" w:eastAsia="Times New Roman" w:hAnsi="Times New Roman" w:cs="Times New Roman"/>
                <w:b/>
                <w:bCs/>
                <w:color w:val="000000"/>
                <w:kern w:val="0"/>
              </w:rPr>
              <w:t>draw down funds at least once per quarter</w:t>
            </w:r>
            <w:r w:rsidRPr="00CC24B7">
              <w:rPr>
                <w:rFonts w:ascii="Times New Roman" w:eastAsia="Times New Roman" w:hAnsi="Times New Roman" w:cs="Times New Roman"/>
                <w:color w:val="000000"/>
                <w:kern w:val="0"/>
              </w:rPr>
              <w:t xml:space="preserve"> of the program year, after eligible activities commence.</w:t>
            </w:r>
          </w:p>
        </w:tc>
      </w:tr>
      <w:tr w:rsidR="00CC24B7" w:rsidRPr="00CC24B7" w14:paraId="4E78630E" w14:textId="77777777" w:rsidTr="00DA4C7D">
        <w:tc>
          <w:tcPr>
            <w:tcW w:w="4050" w:type="dxa"/>
            <w:shd w:val="clear" w:color="auto" w:fill="FAE2D5" w:themeFill="accent2" w:themeFillTint="33"/>
          </w:tcPr>
          <w:p w14:paraId="4FD265CD"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eastAsia="Times New Roman" w:hAnsi="Times New Roman" w:cs="Times New Roman"/>
                <w:b/>
                <w:bCs/>
                <w:color w:val="156082" w:themeColor="accent1"/>
                <w:kern w:val="0"/>
              </w:rPr>
              <w:t>Annual Performance Reporting (APR)</w:t>
            </w:r>
          </w:p>
        </w:tc>
        <w:tc>
          <w:tcPr>
            <w:tcW w:w="6750" w:type="dxa"/>
            <w:shd w:val="clear" w:color="auto" w:fill="FAE2D5" w:themeFill="accent2" w:themeFillTint="33"/>
          </w:tcPr>
          <w:p w14:paraId="55984901" w14:textId="77777777" w:rsidR="00CC24B7" w:rsidRPr="00CC24B7" w:rsidRDefault="00CC24B7" w:rsidP="00CC24B7">
            <w:pPr>
              <w:autoSpaceDE w:val="0"/>
              <w:autoSpaceDN w:val="0"/>
              <w:rPr>
                <w:rFonts w:ascii="Times New Roman" w:eastAsia="Times New Roman" w:hAnsi="Times New Roman" w:cs="Times New Roman"/>
                <w:color w:val="000000"/>
                <w:kern w:val="0"/>
                <w:lang w:val="x-none"/>
              </w:rPr>
            </w:pPr>
            <w:r w:rsidRPr="00CC24B7">
              <w:rPr>
                <w:rFonts w:ascii="Times New Roman" w:eastAsia="Times New Roman" w:hAnsi="Times New Roman" w:cs="Times New Roman"/>
                <w:color w:val="000000"/>
                <w:kern w:val="0"/>
                <w:lang w:val="x-none"/>
              </w:rPr>
              <w:t xml:space="preserve">Recipients of CoC funding required to submit an Annual Performance Report (APR) electronically to HUD every operating year in the in the </w:t>
            </w:r>
            <w:hyperlink r:id="rId17" w:history="1">
              <w:r w:rsidRPr="00CC24B7">
                <w:rPr>
                  <w:rFonts w:ascii="Times New Roman" w:hAnsi="Times New Roman" w:cs="Times New Roman"/>
                  <w:color w:val="467886" w:themeColor="hyperlink"/>
                  <w:kern w:val="0"/>
                  <w:u w:val="single"/>
                </w:rPr>
                <w:t>Sage HMIS Reporting Repository</w:t>
              </w:r>
            </w:hyperlink>
            <w:r w:rsidRPr="00CC24B7">
              <w:rPr>
                <w:rFonts w:ascii="Times New Roman" w:eastAsia="Times New Roman" w:hAnsi="Times New Roman" w:cs="Times New Roman"/>
                <w:color w:val="000000"/>
                <w:kern w:val="0"/>
                <w:lang w:val="x-none"/>
              </w:rPr>
              <w:t>.  Final eLOCCS voucher requests and the final APR submission through Sage is due no later than 90 days after the period of performance end date.  To assist you with this reporting, please take note of the following resources:</w:t>
            </w:r>
          </w:p>
          <w:p w14:paraId="4E359BE8" w14:textId="77777777" w:rsidR="00CC24B7" w:rsidRPr="00CC24B7" w:rsidRDefault="00CC24B7" w:rsidP="00CC24B7">
            <w:pPr>
              <w:autoSpaceDE w:val="0"/>
              <w:autoSpaceDN w:val="0"/>
              <w:rPr>
                <w:rFonts w:ascii="Times New Roman" w:eastAsia="Times New Roman" w:hAnsi="Times New Roman" w:cs="Times New Roman"/>
                <w:color w:val="000000"/>
                <w:kern w:val="0"/>
                <w:lang w:val="x-none"/>
              </w:rPr>
            </w:pPr>
            <w:r w:rsidRPr="00CC24B7">
              <w:rPr>
                <w:rFonts w:ascii="Times New Roman" w:eastAsia="Times New Roman" w:hAnsi="Times New Roman" w:cs="Times New Roman"/>
                <w:color w:val="000000"/>
                <w:kern w:val="0"/>
                <w:lang w:val="x-none"/>
              </w:rPr>
              <w:t xml:space="preserve">•   </w:t>
            </w:r>
            <w:hyperlink r:id="rId18" w:history="1">
              <w:r w:rsidRPr="00CC24B7">
                <w:rPr>
                  <w:rFonts w:ascii="Times New Roman" w:eastAsia="Times New Roman" w:hAnsi="Times New Roman" w:cs="Times New Roman"/>
                  <w:color w:val="467886" w:themeColor="hyperlink"/>
                  <w:kern w:val="0"/>
                  <w:u w:val="single"/>
                  <w:lang w:val="x-none"/>
                </w:rPr>
                <w:t>Sage CoC APR Guidebook for CoC Grant-Funded Programs</w:t>
              </w:r>
            </w:hyperlink>
          </w:p>
          <w:p w14:paraId="79AAE660" w14:textId="77777777" w:rsidR="00CC24B7" w:rsidRPr="00CC24B7" w:rsidRDefault="00CC24B7" w:rsidP="00CC24B7">
            <w:pPr>
              <w:autoSpaceDE w:val="0"/>
              <w:autoSpaceDN w:val="0"/>
              <w:rPr>
                <w:rFonts w:ascii="Times New Roman" w:eastAsia="Times New Roman" w:hAnsi="Times New Roman" w:cs="Times New Roman"/>
                <w:color w:val="000000"/>
                <w:kern w:val="0"/>
                <w:lang w:val="x-none"/>
              </w:rPr>
            </w:pPr>
            <w:r w:rsidRPr="00CC24B7">
              <w:rPr>
                <w:rFonts w:ascii="Times New Roman" w:eastAsia="Times New Roman" w:hAnsi="Times New Roman" w:cs="Times New Roman"/>
                <w:color w:val="000000"/>
                <w:kern w:val="0"/>
                <w:lang w:val="x-none"/>
              </w:rPr>
              <w:t xml:space="preserve">•   </w:t>
            </w:r>
            <w:hyperlink r:id="rId19" w:history="1">
              <w:r w:rsidRPr="00CC24B7">
                <w:rPr>
                  <w:rFonts w:ascii="Times New Roman" w:eastAsia="Times New Roman" w:hAnsi="Times New Roman" w:cs="Times New Roman"/>
                  <w:color w:val="467886" w:themeColor="hyperlink"/>
                  <w:kern w:val="0"/>
                  <w:u w:val="single"/>
                  <w:lang w:val="x-none"/>
                </w:rPr>
                <w:t>Sage HMIS Reporting Repository User Manual</w:t>
              </w:r>
            </w:hyperlink>
            <w:r w:rsidRPr="00CC24B7">
              <w:rPr>
                <w:rFonts w:ascii="Times New Roman" w:eastAsia="Times New Roman" w:hAnsi="Times New Roman" w:cs="Times New Roman"/>
                <w:color w:val="000000"/>
                <w:kern w:val="0"/>
                <w:lang w:val="x-none"/>
              </w:rPr>
              <w:t xml:space="preserve"> </w:t>
            </w:r>
          </w:p>
          <w:p w14:paraId="2C54DB93" w14:textId="77777777" w:rsidR="00CC24B7" w:rsidRPr="00CC24B7" w:rsidRDefault="00CC24B7" w:rsidP="00CC24B7">
            <w:pPr>
              <w:autoSpaceDE w:val="0"/>
              <w:autoSpaceDN w:val="0"/>
              <w:rPr>
                <w:rFonts w:ascii="Times New Roman" w:eastAsia="Times New Roman" w:hAnsi="Times New Roman" w:cs="Times New Roman"/>
                <w:color w:val="000000"/>
                <w:kern w:val="0"/>
                <w:lang w:val="x-none"/>
              </w:rPr>
            </w:pPr>
            <w:r w:rsidRPr="00CC24B7">
              <w:rPr>
                <w:rFonts w:ascii="Times New Roman" w:eastAsia="Times New Roman" w:hAnsi="Times New Roman" w:cs="Times New Roman"/>
                <w:color w:val="000000"/>
                <w:kern w:val="0"/>
                <w:lang w:val="x-none"/>
              </w:rPr>
              <w:t xml:space="preserve">•   Additional guides, tools, and training is available </w:t>
            </w:r>
            <w:hyperlink r:id="rId20" w:anchor="guides-and-tools" w:history="1">
              <w:r w:rsidRPr="00CC24B7">
                <w:rPr>
                  <w:rFonts w:ascii="Times New Roman" w:eastAsia="Times New Roman" w:hAnsi="Times New Roman" w:cs="Times New Roman"/>
                  <w:color w:val="467886" w:themeColor="hyperlink"/>
                  <w:kern w:val="0"/>
                  <w:u w:val="single"/>
                  <w:lang w:val="x-none"/>
                </w:rPr>
                <w:t>here</w:t>
              </w:r>
            </w:hyperlink>
            <w:r w:rsidRPr="00CC24B7">
              <w:rPr>
                <w:rFonts w:ascii="Times New Roman" w:eastAsia="Times New Roman" w:hAnsi="Times New Roman" w:cs="Times New Roman"/>
                <w:color w:val="000000"/>
                <w:kern w:val="0"/>
                <w:lang w:val="x-none"/>
              </w:rPr>
              <w:t>.</w:t>
            </w:r>
          </w:p>
        </w:tc>
      </w:tr>
      <w:tr w:rsidR="00CC24B7" w:rsidRPr="00CC24B7" w14:paraId="011BA6CD" w14:textId="77777777" w:rsidTr="00DA4C7D">
        <w:trPr>
          <w:trHeight w:val="422"/>
        </w:trPr>
        <w:tc>
          <w:tcPr>
            <w:tcW w:w="10800" w:type="dxa"/>
            <w:gridSpan w:val="2"/>
            <w:shd w:val="clear" w:color="auto" w:fill="83CAEB" w:themeFill="accent1" w:themeFillTint="66"/>
            <w:vAlign w:val="center"/>
          </w:tcPr>
          <w:p w14:paraId="7B7CE2F4" w14:textId="77777777" w:rsidR="00CC24B7" w:rsidRPr="00CC24B7" w:rsidRDefault="00CC24B7" w:rsidP="00CC24B7">
            <w:pPr>
              <w:jc w:val="center"/>
              <w:rPr>
                <w:rFonts w:ascii="Times New Roman" w:hAnsi="Times New Roman" w:cs="Times New Roman"/>
                <w:b/>
                <w:bCs/>
                <w:color w:val="000000"/>
                <w:kern w:val="0"/>
              </w:rPr>
            </w:pPr>
            <w:r w:rsidRPr="00CC24B7">
              <w:rPr>
                <w:rFonts w:ascii="Times New Roman" w:hAnsi="Times New Roman" w:cs="Times New Roman"/>
                <w:b/>
                <w:bCs/>
                <w:color w:val="156082" w:themeColor="accent1"/>
                <w:kern w:val="0"/>
              </w:rPr>
              <w:t>Federal Cross-Cutting Requirements</w:t>
            </w:r>
          </w:p>
        </w:tc>
      </w:tr>
      <w:tr w:rsidR="00CC24B7" w:rsidRPr="00CC24B7" w14:paraId="2565DC43" w14:textId="77777777" w:rsidTr="00DA4C7D">
        <w:tc>
          <w:tcPr>
            <w:tcW w:w="4050" w:type="dxa"/>
            <w:shd w:val="clear" w:color="auto" w:fill="C1E4F5" w:themeFill="accent1" w:themeFillTint="33"/>
          </w:tcPr>
          <w:p w14:paraId="1CDAB934"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Build America, Buy America (BABA)</w:t>
            </w:r>
          </w:p>
        </w:tc>
        <w:tc>
          <w:tcPr>
            <w:tcW w:w="6750" w:type="dxa"/>
            <w:shd w:val="clear" w:color="auto" w:fill="C1E4F5" w:themeFill="accent1" w:themeFillTint="33"/>
          </w:tcPr>
          <w:p w14:paraId="0DFFB23F" w14:textId="7FF1950B" w:rsidR="00CC24B7" w:rsidRPr="00CC24B7" w:rsidRDefault="00CC24B7" w:rsidP="00CC24B7">
            <w:pPr>
              <w:rPr>
                <w:rFonts w:ascii="Times New Roman" w:hAnsi="Times New Roman" w:cs="Times New Roman"/>
                <w:b/>
                <w:bCs/>
                <w:color w:val="000000"/>
                <w:kern w:val="0"/>
                <w:u w:val="single"/>
              </w:rPr>
            </w:pPr>
            <w:r w:rsidRPr="00CC24B7">
              <w:rPr>
                <w:rFonts w:ascii="Times New Roman" w:hAnsi="Times New Roman" w:cs="Times New Roman"/>
                <w:kern w:val="0"/>
              </w:rPr>
              <w:t xml:space="preserve">The Build America, Buy America (BABA) Act requires any public infrastructure project funded by any Federal Financial Assistance (FFA) apply a domestic content procurement preference, meaning that all iron, steel, manufactured products, and construction materials used in the infrastructure project have been produced in the United States, unless the </w:t>
            </w:r>
            <w:r w:rsidRPr="00CC24B7">
              <w:rPr>
                <w:rFonts w:ascii="Times New Roman" w:hAnsi="Times New Roman" w:cs="Times New Roman"/>
                <w:kern w:val="0"/>
              </w:rPr>
              <w:lastRenderedPageBreak/>
              <w:t xml:space="preserve">awarding agency has issued a waiver of this requirement. </w:t>
            </w:r>
            <w:r>
              <w:rPr>
                <w:rFonts w:ascii="Times New Roman" w:hAnsi="Times New Roman" w:cs="Times New Roman"/>
                <w:kern w:val="0"/>
              </w:rPr>
              <w:t xml:space="preserve"> </w:t>
            </w:r>
            <w:r w:rsidRPr="00CC24B7">
              <w:rPr>
                <w:rFonts w:ascii="Times New Roman" w:hAnsi="Times New Roman" w:cs="Times New Roman"/>
                <w:kern w:val="0"/>
              </w:rPr>
              <w:t xml:space="preserve">This is called the “Buy America Preference” (BAP).  For more information, including whether the BAP applies to your project and important clarity on how the BAP applies to housing projects, please consult </w:t>
            </w:r>
            <w:hyperlink r:id="rId21" w:tgtFrame="_blank" w:history="1">
              <w:r w:rsidRPr="00CC24B7">
                <w:rPr>
                  <w:rFonts w:ascii="Times New Roman" w:hAnsi="Times New Roman" w:cs="Times New Roman"/>
                  <w:color w:val="467886" w:themeColor="hyperlink"/>
                  <w:kern w:val="0"/>
                  <w:u w:val="single"/>
                </w:rPr>
                <w:t>Notice CPD-2025-01</w:t>
              </w:r>
            </w:hyperlink>
            <w:r w:rsidRPr="00CC24B7">
              <w:rPr>
                <w:rFonts w:ascii="Times New Roman" w:hAnsi="Times New Roman" w:cs="Times New Roman"/>
                <w:kern w:val="0"/>
              </w:rPr>
              <w:t>.</w:t>
            </w:r>
          </w:p>
        </w:tc>
      </w:tr>
      <w:tr w:rsidR="00CC24B7" w:rsidRPr="00CC24B7" w14:paraId="4D9AFD31" w14:textId="77777777" w:rsidTr="00DA4C7D">
        <w:tc>
          <w:tcPr>
            <w:tcW w:w="4050" w:type="dxa"/>
            <w:shd w:val="clear" w:color="auto" w:fill="C1E4F5" w:themeFill="accent1" w:themeFillTint="33"/>
          </w:tcPr>
          <w:p w14:paraId="4FBFCF77"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lastRenderedPageBreak/>
              <w:t>Preventing Waste, Fraud, and Abuse and Whistleblower Protections</w:t>
            </w:r>
          </w:p>
        </w:tc>
        <w:tc>
          <w:tcPr>
            <w:tcW w:w="6750" w:type="dxa"/>
            <w:shd w:val="clear" w:color="auto" w:fill="C1E4F5" w:themeFill="accent1" w:themeFillTint="33"/>
          </w:tcPr>
          <w:p w14:paraId="0C86F79D" w14:textId="71EFC134" w:rsidR="00CC24B7" w:rsidRPr="00CC24B7" w:rsidRDefault="00CC24B7" w:rsidP="00CC24B7">
            <w:pPr>
              <w:autoSpaceDE w:val="0"/>
              <w:autoSpaceDN w:val="0"/>
              <w:rPr>
                <w:rFonts w:ascii="Times New Roman" w:hAnsi="Times New Roman" w:cs="Times New Roman"/>
                <w:kern w:val="0"/>
              </w:rPr>
            </w:pPr>
            <w:r w:rsidRPr="00CC24B7">
              <w:rPr>
                <w:rFonts w:ascii="Times New Roman" w:hAnsi="Times New Roman" w:cs="Times New Roman"/>
                <w:kern w:val="0"/>
              </w:rPr>
              <w:t xml:space="preserve">Preventing waste, fraud, and abuse of Federal funds is a shared responsibility and </w:t>
            </w:r>
            <w:r w:rsidRPr="00CC24B7">
              <w:rPr>
                <w:rFonts w:ascii="Times New Roman" w:hAnsi="Times New Roman" w:cs="Times New Roman"/>
                <w:color w:val="000000"/>
                <w:kern w:val="0"/>
              </w:rPr>
              <w:t xml:space="preserve">any person who becomes aware of the existence or apparent existence of fraud, waste or abuse of any HUD award must report such incidents to both the HUD official responsible for the award and to HUD’s Office of Inspector General (OIG). </w:t>
            </w:r>
            <w:r>
              <w:rPr>
                <w:rFonts w:ascii="Times New Roman" w:hAnsi="Times New Roman" w:cs="Times New Roman"/>
                <w:color w:val="000000"/>
                <w:kern w:val="0"/>
              </w:rPr>
              <w:t xml:space="preserve"> </w:t>
            </w:r>
            <w:r w:rsidRPr="00CC24B7">
              <w:rPr>
                <w:rFonts w:ascii="Times New Roman" w:hAnsi="Times New Roman" w:cs="Times New Roman"/>
                <w:color w:val="000000"/>
                <w:kern w:val="0"/>
              </w:rPr>
              <w:t xml:space="preserve">HUD OIG is available to receive allegations of fraud, waste, and abuse related to HUD programs via its hotline number (1-800-347-3735) and its </w:t>
            </w:r>
            <w:hyperlink r:id="rId22" w:history="1">
              <w:r w:rsidRPr="00CC24B7">
                <w:rPr>
                  <w:rFonts w:ascii="Times New Roman" w:hAnsi="Times New Roman" w:cs="Times New Roman"/>
                  <w:color w:val="467886" w:themeColor="hyperlink"/>
                  <w:kern w:val="0"/>
                  <w:u w:val="single"/>
                </w:rPr>
                <w:t>online hotline form</w:t>
              </w:r>
            </w:hyperlink>
            <w:r w:rsidRPr="00CC24B7">
              <w:rPr>
                <w:rFonts w:ascii="Times New Roman" w:hAnsi="Times New Roman" w:cs="Times New Roman"/>
                <w:color w:val="000000"/>
                <w:kern w:val="0"/>
              </w:rPr>
              <w:t>.</w:t>
            </w:r>
          </w:p>
          <w:p w14:paraId="30D60912" w14:textId="77777777" w:rsidR="00CC24B7" w:rsidRPr="00CC24B7" w:rsidRDefault="00CC24B7" w:rsidP="00CC24B7">
            <w:pPr>
              <w:rPr>
                <w:rFonts w:ascii="Times New Roman" w:eastAsia="Times New Roman" w:hAnsi="Times New Roman" w:cs="Times New Roman"/>
                <w:b/>
                <w:bCs/>
                <w:color w:val="000000" w:themeColor="text1"/>
                <w:kern w:val="0"/>
                <w:u w:val="single"/>
                <w14:ligatures w14:val="none"/>
              </w:rPr>
            </w:pPr>
          </w:p>
          <w:p w14:paraId="1E26B283" w14:textId="77777777" w:rsidR="00CC24B7" w:rsidRPr="00CC24B7" w:rsidRDefault="00CC24B7" w:rsidP="00CC24B7">
            <w:pPr>
              <w:rPr>
                <w:rFonts w:ascii="Times New Roman" w:eastAsia="Times New Roman" w:hAnsi="Times New Roman" w:cs="Times New Roman"/>
                <w:color w:val="000000" w:themeColor="text1"/>
                <w:kern w:val="0"/>
                <w14:ligatures w14:val="none"/>
              </w:rPr>
            </w:pPr>
            <w:r w:rsidRPr="00CC24B7">
              <w:rPr>
                <w:rFonts w:ascii="Times New Roman" w:eastAsia="Times New Roman" w:hAnsi="Times New Roman" w:cs="Times New Roman"/>
                <w:color w:val="000000" w:themeColor="text1"/>
                <w:kern w:val="0"/>
                <w14:ligatures w14:val="none"/>
              </w:rPr>
              <w:t xml:space="preserve">Please be reminded of the Whistleblower Protection requirements contained in </w:t>
            </w:r>
            <w:r w:rsidRPr="00CC24B7">
              <w:rPr>
                <w:rFonts w:ascii="Times New Roman" w:eastAsia="Times New Roman" w:hAnsi="Times New Roman" w:cs="Times New Roman"/>
                <w:color w:val="000000"/>
                <w:kern w:val="0"/>
                <w:lang w:val="x-none"/>
                <w14:ligatures w14:val="none"/>
              </w:rPr>
              <w:t xml:space="preserve">41 U.S.C. § 4712, which, as amended, protect employees of a government contractor, subcontractor, grantee, and subgrantee from retaliation or reprisal </w:t>
            </w:r>
            <w:proofErr w:type="gramStart"/>
            <w:r w:rsidRPr="00CC24B7">
              <w:rPr>
                <w:rFonts w:ascii="Times New Roman" w:eastAsia="Times New Roman" w:hAnsi="Times New Roman" w:cs="Times New Roman"/>
                <w:color w:val="000000"/>
                <w:kern w:val="0"/>
                <w:lang w:val="x-none"/>
                <w14:ligatures w14:val="none"/>
              </w:rPr>
              <w:t>as a result of</w:t>
            </w:r>
            <w:proofErr w:type="gramEnd"/>
            <w:r w:rsidRPr="00CC24B7">
              <w:rPr>
                <w:rFonts w:ascii="Times New Roman" w:eastAsia="Times New Roman" w:hAnsi="Times New Roman" w:cs="Times New Roman"/>
                <w:color w:val="000000"/>
                <w:kern w:val="0"/>
                <w:lang w:val="x-none"/>
                <w14:ligatures w14:val="none"/>
              </w:rPr>
              <w:t xml:space="preserve"> protected disclosures of gross mismanagement, gross waste, abuse of authority, and other violations in connection with Federal contracts or grants.  Grantee must inform employees in writing of their rights and remedies.</w:t>
            </w:r>
          </w:p>
        </w:tc>
      </w:tr>
      <w:tr w:rsidR="00CC24B7" w:rsidRPr="00CC24B7" w14:paraId="35695A5A" w14:textId="77777777" w:rsidTr="00DA4C7D">
        <w:tc>
          <w:tcPr>
            <w:tcW w:w="4050" w:type="dxa"/>
            <w:shd w:val="clear" w:color="auto" w:fill="C1E4F5" w:themeFill="accent1" w:themeFillTint="33"/>
          </w:tcPr>
          <w:p w14:paraId="4DF02415"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 xml:space="preserve">Federal Funding Accountability and Transparency Act </w:t>
            </w:r>
          </w:p>
          <w:p w14:paraId="10A506F5"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(FFATA)</w:t>
            </w:r>
          </w:p>
        </w:tc>
        <w:tc>
          <w:tcPr>
            <w:tcW w:w="6750" w:type="dxa"/>
            <w:shd w:val="clear" w:color="auto" w:fill="C1E4F5" w:themeFill="accent1" w:themeFillTint="33"/>
          </w:tcPr>
          <w:p w14:paraId="2608A9DD" w14:textId="15D3CBA0" w:rsidR="00CC24B7" w:rsidRPr="00CC24B7" w:rsidRDefault="00CC24B7" w:rsidP="00CC24B7">
            <w:pPr>
              <w:rPr>
                <w:rFonts w:ascii="Times New Roman" w:eastAsia="Times New Roman" w:hAnsi="Times New Roman" w:cs="Times New Roman"/>
                <w:b/>
                <w:bCs/>
                <w:color w:val="000000" w:themeColor="text1"/>
                <w:kern w:val="0"/>
                <w:u w:val="single"/>
                <w14:ligatures w14:val="none"/>
              </w:rPr>
            </w:pPr>
            <w:r w:rsidRPr="00CC24B7">
              <w:rPr>
                <w:rFonts w:ascii="Times New Roman" w:hAnsi="Times New Roman" w:cs="Times New Roman"/>
                <w:kern w:val="0"/>
                <w14:ligatures w14:val="none"/>
              </w:rPr>
              <w:t>The FFATA Subaward Reporting System (FSRS) is a reporting tool that Federal prime awardees (i.e., prime grant recipients and prime contractors) use to capture and report subaward and executive compensation data to meet the FFATA reporting requirements.</w:t>
            </w:r>
            <w:r>
              <w:rPr>
                <w:rFonts w:ascii="Times New Roman" w:hAnsi="Times New Roman" w:cs="Times New Roman"/>
                <w:kern w:val="0"/>
                <w14:ligatures w14:val="none"/>
              </w:rPr>
              <w:t xml:space="preserve"> </w:t>
            </w:r>
            <w:r w:rsidRPr="00CC24B7">
              <w:rPr>
                <w:rFonts w:ascii="Times New Roman" w:hAnsi="Times New Roman" w:cs="Times New Roman"/>
                <w:kern w:val="0"/>
                <w14:ligatures w14:val="none"/>
              </w:rPr>
              <w:t xml:space="preserve"> For FSRS reporting, prime awardees will report on all subawards they make.  In accordance with 2 CFR part 170, prime awardees awarded a Federal grant are </w:t>
            </w:r>
            <w:r w:rsidRPr="00CC24B7">
              <w:rPr>
                <w:rFonts w:ascii="Times New Roman" w:hAnsi="Times New Roman" w:cs="Times New Roman"/>
                <w:b/>
                <w:bCs/>
                <w:kern w:val="0"/>
                <w:u w:val="single"/>
                <w14:ligatures w14:val="none"/>
              </w:rPr>
              <w:t>required</w:t>
            </w:r>
            <w:r w:rsidRPr="00CC24B7">
              <w:rPr>
                <w:rFonts w:ascii="Times New Roman" w:hAnsi="Times New Roman" w:cs="Times New Roman"/>
                <w:kern w:val="0"/>
                <w14:ligatures w14:val="none"/>
              </w:rPr>
              <w:t xml:space="preserve"> to file a FFATA subaward report by the end of the month following the month in which the prime awardee awards any subaward equal to or greater than $30,000 in Federal funds.  Additional information can be found on the FSRS website, at </w:t>
            </w:r>
            <w:hyperlink r:id="rId23" w:history="1">
              <w:r w:rsidRPr="00CC24B7">
                <w:rPr>
                  <w:rFonts w:ascii="Times New Roman" w:hAnsi="Times New Roman" w:cs="Times New Roman"/>
                  <w:color w:val="467886" w:themeColor="hyperlink"/>
                  <w:kern w:val="0"/>
                  <w:u w:val="single"/>
                  <w14:ligatures w14:val="none"/>
                </w:rPr>
                <w:t>https://www.fsrs.gov/</w:t>
              </w:r>
            </w:hyperlink>
            <w:r w:rsidRPr="00CC24B7">
              <w:rPr>
                <w:rFonts w:ascii="Times New Roman" w:hAnsi="Times New Roman" w:cs="Times New Roman"/>
                <w:kern w:val="0"/>
                <w14:ligatures w14:val="none"/>
              </w:rPr>
              <w:t>. </w:t>
            </w:r>
          </w:p>
        </w:tc>
      </w:tr>
      <w:tr w:rsidR="00CC24B7" w:rsidRPr="00CC24B7" w14:paraId="795575B8" w14:textId="77777777" w:rsidTr="00DA4C7D">
        <w:tc>
          <w:tcPr>
            <w:tcW w:w="4050" w:type="dxa"/>
            <w:shd w:val="clear" w:color="auto" w:fill="C1E4F5" w:themeFill="accent1" w:themeFillTint="33"/>
          </w:tcPr>
          <w:p w14:paraId="25BC0B15" w14:textId="77777777" w:rsidR="00CC24B7" w:rsidRPr="00CC24B7" w:rsidRDefault="00CC24B7" w:rsidP="00CC24B7">
            <w:pPr>
              <w:rPr>
                <w:rFonts w:ascii="Times New Roman" w:hAnsi="Times New Roman" w:cs="Times New Roman"/>
                <w:b/>
                <w:bCs/>
                <w:color w:val="156082" w:themeColor="accent1"/>
                <w:kern w:val="0"/>
              </w:rPr>
            </w:pPr>
            <w:r w:rsidRPr="00CC24B7">
              <w:rPr>
                <w:rFonts w:ascii="Times New Roman" w:hAnsi="Times New Roman" w:cs="Times New Roman"/>
                <w:b/>
                <w:bCs/>
                <w:color w:val="156082" w:themeColor="accent1"/>
                <w:kern w:val="0"/>
              </w:rPr>
              <w:t>Environmental Review</w:t>
            </w:r>
          </w:p>
        </w:tc>
        <w:tc>
          <w:tcPr>
            <w:tcW w:w="6750" w:type="dxa"/>
            <w:shd w:val="clear" w:color="auto" w:fill="C1E4F5" w:themeFill="accent1" w:themeFillTint="33"/>
          </w:tcPr>
          <w:p w14:paraId="3A01FD0C" w14:textId="456AE10F" w:rsidR="00CC24B7" w:rsidRPr="00CC24B7" w:rsidRDefault="00CC24B7" w:rsidP="00CC24B7">
            <w:pPr>
              <w:autoSpaceDE w:val="0"/>
              <w:autoSpaceDN w:val="0"/>
              <w:rPr>
                <w:rFonts w:ascii="Times New Roman" w:eastAsia="Times New Roman" w:hAnsi="Times New Roman" w:cs="Times New Roman"/>
                <w:color w:val="000000"/>
                <w:kern w:val="0"/>
                <w:lang w:val="x-none"/>
              </w:rPr>
            </w:pPr>
            <w:r w:rsidRPr="00CC24B7">
              <w:rPr>
                <w:rFonts w:ascii="Times New Roman" w:hAnsi="Times New Roman" w:cs="Times New Roman"/>
                <w:color w:val="000000"/>
                <w:kern w:val="0"/>
              </w:rPr>
              <w:t>Activities</w:t>
            </w:r>
            <w:r w:rsidRPr="00CC24B7">
              <w:rPr>
                <w:rFonts w:ascii="Times New Roman" w:eastAsia="Times New Roman" w:hAnsi="Times New Roman" w:cs="Times New Roman"/>
                <w:color w:val="000000"/>
                <w:kern w:val="0"/>
                <w:lang w:val="x-none"/>
              </w:rPr>
              <w:t xml:space="preserve"> under the CoC program are subject to environmental review by a responsible entity under HUD regulations at 24 CFR part 58. </w:t>
            </w:r>
            <w:r>
              <w:rPr>
                <w:rFonts w:ascii="Times New Roman" w:eastAsia="Times New Roman" w:hAnsi="Times New Roman" w:cs="Times New Roman"/>
                <w:color w:val="000000"/>
                <w:kern w:val="0"/>
                <w:lang w:val="x-none"/>
              </w:rPr>
              <w:t xml:space="preserve"> </w:t>
            </w:r>
            <w:r w:rsidRPr="00CC24B7">
              <w:rPr>
                <w:rFonts w:ascii="Times New Roman" w:eastAsia="Times New Roman" w:hAnsi="Times New Roman" w:cs="Times New Roman"/>
                <w:color w:val="000000"/>
                <w:kern w:val="0"/>
                <w:lang w:val="x-none"/>
              </w:rPr>
              <w:t xml:space="preserve">Environmental reviews for an activity may be completed after the award but must be completed prior to the execution of the grant agreement if an environmental review for that particular activity has not been completed within 5 years. </w:t>
            </w:r>
            <w:r>
              <w:rPr>
                <w:rFonts w:ascii="Times New Roman" w:eastAsia="Times New Roman" w:hAnsi="Times New Roman" w:cs="Times New Roman"/>
                <w:color w:val="000000"/>
                <w:kern w:val="0"/>
                <w:lang w:val="x-none"/>
              </w:rPr>
              <w:t xml:space="preserve"> </w:t>
            </w:r>
            <w:r w:rsidRPr="00CC24B7">
              <w:rPr>
                <w:rFonts w:ascii="Times New Roman" w:eastAsia="Times New Roman" w:hAnsi="Times New Roman" w:cs="Times New Roman"/>
                <w:color w:val="000000"/>
                <w:kern w:val="0"/>
                <w:lang w:val="x-none"/>
              </w:rPr>
              <w:t xml:space="preserve">HUD recommends a new environmental review is conducted every five years or sooner if/when environmental conditions change or there is a change to the project.  HUD has published a series of FAQs relating to environmental review requirements </w:t>
            </w:r>
            <w:hyperlink r:id="rId24" w:anchor="?topic=Environmental%20Review&amp;id=C1B13F5B-A5B7-AB0F-82B0C7F8BC53415F" w:history="1">
              <w:r w:rsidRPr="00CC24B7">
                <w:rPr>
                  <w:rFonts w:ascii="Times New Roman" w:eastAsia="Times New Roman" w:hAnsi="Times New Roman" w:cs="Times New Roman"/>
                  <w:color w:val="467886" w:themeColor="hyperlink"/>
                  <w:kern w:val="0"/>
                  <w:u w:val="single"/>
                  <w:lang w:val="x-none"/>
                </w:rPr>
                <w:t>here</w:t>
              </w:r>
            </w:hyperlink>
            <w:r w:rsidRPr="00CC24B7">
              <w:rPr>
                <w:rFonts w:ascii="Times New Roman" w:eastAsia="Times New Roman" w:hAnsi="Times New Roman" w:cs="Times New Roman"/>
                <w:color w:val="000000"/>
                <w:kern w:val="0"/>
                <w:lang w:val="x-none"/>
              </w:rPr>
              <w:t>.</w:t>
            </w:r>
            <w:r w:rsidRPr="00CC24B7">
              <w:rPr>
                <w:rFonts w:ascii="Times New Roman" w:eastAsia="Times New Roman" w:hAnsi="Times New Roman" w:cs="Times New Roman"/>
                <w:color w:val="0563C1"/>
                <w:kern w:val="0"/>
                <w:lang w:val="x-none"/>
              </w:rPr>
              <w:t xml:space="preserve"> </w:t>
            </w:r>
            <w:r>
              <w:rPr>
                <w:rFonts w:ascii="Times New Roman" w:eastAsia="Times New Roman" w:hAnsi="Times New Roman" w:cs="Times New Roman"/>
                <w:color w:val="0563C1"/>
                <w:kern w:val="0"/>
                <w:lang w:val="x-none"/>
              </w:rPr>
              <w:t xml:space="preserve"> </w:t>
            </w:r>
            <w:r w:rsidRPr="00CC24B7">
              <w:rPr>
                <w:rFonts w:ascii="Times New Roman" w:eastAsia="Times New Roman" w:hAnsi="Times New Roman" w:cs="Times New Roman"/>
                <w:color w:val="000000"/>
                <w:kern w:val="0"/>
                <w:lang w:val="x-none"/>
              </w:rPr>
              <w:t xml:space="preserve">We also encourage you to visit the CoC Program Environmental Review Resources page </w:t>
            </w:r>
            <w:hyperlink r:id="rId25" w:history="1">
              <w:r w:rsidRPr="00CC24B7">
                <w:rPr>
                  <w:rFonts w:ascii="Times New Roman" w:eastAsia="Times New Roman" w:hAnsi="Times New Roman" w:cs="Times New Roman"/>
                  <w:color w:val="467886" w:themeColor="hyperlink"/>
                  <w:kern w:val="0"/>
                  <w:u w:val="single"/>
                  <w:lang w:val="x-none"/>
                </w:rPr>
                <w:t>here</w:t>
              </w:r>
            </w:hyperlink>
            <w:r w:rsidRPr="00CC24B7">
              <w:rPr>
                <w:rFonts w:ascii="Times New Roman" w:eastAsia="Times New Roman" w:hAnsi="Times New Roman" w:cs="Times New Roman"/>
                <w:color w:val="000000"/>
                <w:kern w:val="0"/>
                <w:lang w:val="x-none"/>
              </w:rPr>
              <w:t xml:space="preserve"> and the Office of Environment and Energy (OEE) webpage </w:t>
            </w:r>
            <w:hyperlink r:id="rId26" w:history="1">
              <w:r w:rsidRPr="00CC24B7">
                <w:rPr>
                  <w:rFonts w:ascii="Times New Roman" w:eastAsia="Times New Roman" w:hAnsi="Times New Roman" w:cs="Times New Roman"/>
                  <w:color w:val="467886" w:themeColor="hyperlink"/>
                  <w:kern w:val="0"/>
                  <w:u w:val="single"/>
                  <w:lang w:val="x-none"/>
                </w:rPr>
                <w:t>here</w:t>
              </w:r>
            </w:hyperlink>
            <w:r w:rsidRPr="00CC24B7">
              <w:rPr>
                <w:rFonts w:ascii="Times New Roman" w:eastAsia="Times New Roman" w:hAnsi="Times New Roman" w:cs="Times New Roman"/>
                <w:color w:val="000000"/>
                <w:kern w:val="0"/>
                <w:lang w:val="x-none"/>
              </w:rPr>
              <w:t>.</w:t>
            </w:r>
          </w:p>
        </w:tc>
      </w:tr>
    </w:tbl>
    <w:p w14:paraId="64618D86" w14:textId="77777777" w:rsidR="001A4E68" w:rsidRDefault="001A4E68" w:rsidP="00EE0B42">
      <w:pPr>
        <w:ind w:left="-900"/>
      </w:pPr>
    </w:p>
    <w:sectPr w:rsidR="001A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228"/>
    <w:multiLevelType w:val="multilevel"/>
    <w:tmpl w:val="96CC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BC2610"/>
    <w:multiLevelType w:val="hybridMultilevel"/>
    <w:tmpl w:val="40F4601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C0337DE"/>
    <w:multiLevelType w:val="hybridMultilevel"/>
    <w:tmpl w:val="C20CC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5B2BF2"/>
    <w:multiLevelType w:val="multilevel"/>
    <w:tmpl w:val="193EC7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2B0755"/>
    <w:multiLevelType w:val="hybridMultilevel"/>
    <w:tmpl w:val="E2DEFAD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42049785">
    <w:abstractNumId w:val="3"/>
  </w:num>
  <w:num w:numId="2" w16cid:durableId="1474249431">
    <w:abstractNumId w:val="0"/>
  </w:num>
  <w:num w:numId="3" w16cid:durableId="756288219">
    <w:abstractNumId w:val="2"/>
  </w:num>
  <w:num w:numId="4" w16cid:durableId="1776359417">
    <w:abstractNumId w:val="4"/>
  </w:num>
  <w:num w:numId="5" w16cid:durableId="101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B7"/>
    <w:rsid w:val="00026E78"/>
    <w:rsid w:val="001A4E68"/>
    <w:rsid w:val="00255D02"/>
    <w:rsid w:val="002855DC"/>
    <w:rsid w:val="002E24F8"/>
    <w:rsid w:val="003B67CF"/>
    <w:rsid w:val="00525782"/>
    <w:rsid w:val="00691EB9"/>
    <w:rsid w:val="006E3570"/>
    <w:rsid w:val="00764344"/>
    <w:rsid w:val="009262DD"/>
    <w:rsid w:val="00947282"/>
    <w:rsid w:val="00A76DD3"/>
    <w:rsid w:val="00AB0F24"/>
    <w:rsid w:val="00C42A5A"/>
    <w:rsid w:val="00CC24B7"/>
    <w:rsid w:val="00DC245C"/>
    <w:rsid w:val="00DC4F19"/>
    <w:rsid w:val="00EE0B42"/>
    <w:rsid w:val="00F4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6B96"/>
  <w15:chartTrackingRefBased/>
  <w15:docId w15:val="{A635264B-8D27-4F4A-BC12-36EE8DEF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4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4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4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4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4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4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4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4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4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4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4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4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4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4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4B7"/>
    <w:rPr>
      <w:rFonts w:eastAsiaTheme="majorEastAsia" w:cstheme="majorBidi"/>
      <w:color w:val="272727" w:themeColor="text1" w:themeTint="D8"/>
    </w:rPr>
  </w:style>
  <w:style w:type="paragraph" w:styleId="Title">
    <w:name w:val="Title"/>
    <w:basedOn w:val="Normal"/>
    <w:next w:val="Normal"/>
    <w:link w:val="TitleChar"/>
    <w:uiPriority w:val="10"/>
    <w:qFormat/>
    <w:rsid w:val="00CC24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4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4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4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4B7"/>
    <w:pPr>
      <w:spacing w:before="160"/>
      <w:jc w:val="center"/>
    </w:pPr>
    <w:rPr>
      <w:i/>
      <w:iCs/>
      <w:color w:val="404040" w:themeColor="text1" w:themeTint="BF"/>
    </w:rPr>
  </w:style>
  <w:style w:type="character" w:customStyle="1" w:styleId="QuoteChar">
    <w:name w:val="Quote Char"/>
    <w:basedOn w:val="DefaultParagraphFont"/>
    <w:link w:val="Quote"/>
    <w:uiPriority w:val="29"/>
    <w:rsid w:val="00CC24B7"/>
    <w:rPr>
      <w:i/>
      <w:iCs/>
      <w:color w:val="404040" w:themeColor="text1" w:themeTint="BF"/>
    </w:rPr>
  </w:style>
  <w:style w:type="paragraph" w:styleId="ListParagraph">
    <w:name w:val="List Paragraph"/>
    <w:basedOn w:val="Normal"/>
    <w:uiPriority w:val="34"/>
    <w:qFormat/>
    <w:rsid w:val="00CC24B7"/>
    <w:pPr>
      <w:ind w:left="720"/>
      <w:contextualSpacing/>
    </w:pPr>
  </w:style>
  <w:style w:type="character" w:styleId="IntenseEmphasis">
    <w:name w:val="Intense Emphasis"/>
    <w:basedOn w:val="DefaultParagraphFont"/>
    <w:uiPriority w:val="21"/>
    <w:qFormat/>
    <w:rsid w:val="00CC24B7"/>
    <w:rPr>
      <w:i/>
      <w:iCs/>
      <w:color w:val="0F4761" w:themeColor="accent1" w:themeShade="BF"/>
    </w:rPr>
  </w:style>
  <w:style w:type="paragraph" w:styleId="IntenseQuote">
    <w:name w:val="Intense Quote"/>
    <w:basedOn w:val="Normal"/>
    <w:next w:val="Normal"/>
    <w:link w:val="IntenseQuoteChar"/>
    <w:uiPriority w:val="30"/>
    <w:qFormat/>
    <w:rsid w:val="00CC2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4B7"/>
    <w:rPr>
      <w:i/>
      <w:iCs/>
      <w:color w:val="0F4761" w:themeColor="accent1" w:themeShade="BF"/>
    </w:rPr>
  </w:style>
  <w:style w:type="character" w:styleId="IntenseReference">
    <w:name w:val="Intense Reference"/>
    <w:basedOn w:val="DefaultParagraphFont"/>
    <w:uiPriority w:val="32"/>
    <w:qFormat/>
    <w:rsid w:val="00CC24B7"/>
    <w:rPr>
      <w:b/>
      <w:bCs/>
      <w:smallCaps/>
      <w:color w:val="0F4761" w:themeColor="accent1" w:themeShade="BF"/>
      <w:spacing w:val="5"/>
    </w:rPr>
  </w:style>
  <w:style w:type="table" w:styleId="TableGrid">
    <w:name w:val="Table Grid"/>
    <w:basedOn w:val="TableNormal"/>
    <w:uiPriority w:val="39"/>
    <w:rsid w:val="00CC24B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4B7"/>
    <w:rPr>
      <w:color w:val="467886" w:themeColor="hyperlink"/>
      <w:u w:val="single"/>
    </w:rPr>
  </w:style>
  <w:style w:type="character" w:styleId="UnresolvedMention">
    <w:name w:val="Unresolved Mention"/>
    <w:basedOn w:val="DefaultParagraphFont"/>
    <w:uiPriority w:val="99"/>
    <w:semiHidden/>
    <w:unhideWhenUsed/>
    <w:rsid w:val="00CC24B7"/>
    <w:rPr>
      <w:color w:val="605E5C"/>
      <w:shd w:val="clear" w:color="auto" w:fill="E1DFDD"/>
    </w:rPr>
  </w:style>
  <w:style w:type="paragraph" w:styleId="NoSpacing">
    <w:name w:val="No Spacing"/>
    <w:uiPriority w:val="1"/>
    <w:qFormat/>
    <w:rsid w:val="006E3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gov/SAM/" TargetMode="External"/><Relationship Id="rId13" Type="http://schemas.openxmlformats.org/officeDocument/2006/relationships/hyperlink" Target="https://www.ecfr.gov/current/title-24/subtitle-B/chapter-V/subchapter-C/part-578/subpart-F/section-578.73" TargetMode="External"/><Relationship Id="rId18" Type="http://schemas.openxmlformats.org/officeDocument/2006/relationships/hyperlink" Target="https://www.hudexchange.info/resource/5315/sage-coc-apr-guidebook-for-coc-grant-funded-programs/" TargetMode="External"/><Relationship Id="rId26" Type="http://schemas.openxmlformats.org/officeDocument/2006/relationships/hyperlink" Target="https://www.hud.gov/program_offices/comm_planning/environment_energy" TargetMode="External"/><Relationship Id="rId3" Type="http://schemas.openxmlformats.org/officeDocument/2006/relationships/settings" Target="settings.xml"/><Relationship Id="rId21" Type="http://schemas.openxmlformats.org/officeDocument/2006/relationships/hyperlink" Target="https://www.hud.gov/sites/dfiles/OCHCO/documents/cpd-25-01.pdf" TargetMode="External"/><Relationship Id="rId7" Type="http://schemas.openxmlformats.org/officeDocument/2006/relationships/hyperlink" Target="https://www.hud.gov/program_offices/cfo/finsys/eLOCCS_access/quick_reference" TargetMode="External"/><Relationship Id="rId12" Type="http://schemas.openxmlformats.org/officeDocument/2006/relationships/hyperlink" Target="https://www.hudexchange.info/homelessness-assistance/coc-esg-virtual-binders/" TargetMode="External"/><Relationship Id="rId17" Type="http://schemas.openxmlformats.org/officeDocument/2006/relationships/hyperlink" Target="https://www.sagehmis.info/logon.aspx?ReturnUrl=%2f" TargetMode="External"/><Relationship Id="rId25" Type="http://schemas.openxmlformats.org/officeDocument/2006/relationships/hyperlink" Target="https://www.hudexchange.info/resource/4045/coc-program-environmental-review-flow-chart/" TargetMode="External"/><Relationship Id="rId2" Type="http://schemas.openxmlformats.org/officeDocument/2006/relationships/styles" Target="styles.xml"/><Relationship Id="rId16" Type="http://schemas.openxmlformats.org/officeDocument/2006/relationships/hyperlink" Target="https://www.congress.gov/bill/118th-congress/house-bill/4366" TargetMode="External"/><Relationship Id="rId20" Type="http://schemas.openxmlformats.org/officeDocument/2006/relationships/hyperlink" Target="https://www.hudexchange.info/programs/sage/coc-apr/" TargetMode="External"/><Relationship Id="rId1" Type="http://schemas.openxmlformats.org/officeDocument/2006/relationships/numbering" Target="numbering.xml"/><Relationship Id="rId6" Type="http://schemas.openxmlformats.org/officeDocument/2006/relationships/hyperlink" Target="https://www.hudexchange.info/programs/e-snaps/" TargetMode="External"/><Relationship Id="rId11" Type="http://schemas.openxmlformats.org/officeDocument/2006/relationships/hyperlink" Target="https://files.hudexchange.info/resources/documents/HomelessDefinition_RecordkeepingRequirementsandCriteria.pdf" TargetMode="External"/><Relationship Id="rId24" Type="http://schemas.openxmlformats.org/officeDocument/2006/relationships/hyperlink" Target="https://www.hudexchange.info/coc/faqs/" TargetMode="External"/><Relationship Id="rId5" Type="http://schemas.openxmlformats.org/officeDocument/2006/relationships/hyperlink" Target="mailto:lisa.b.mrzygut@hud.gov" TargetMode="External"/><Relationship Id="rId15" Type="http://schemas.openxmlformats.org/officeDocument/2006/relationships/hyperlink" Target="https://www.law.cornell.edu/cfr/text/24/578.97" TargetMode="External"/><Relationship Id="rId23" Type="http://schemas.openxmlformats.org/officeDocument/2006/relationships/hyperlink" Target="https://www.fsrs.gov/" TargetMode="External"/><Relationship Id="rId28" Type="http://schemas.openxmlformats.org/officeDocument/2006/relationships/theme" Target="theme/theme1.xml"/><Relationship Id="rId10" Type="http://schemas.openxmlformats.org/officeDocument/2006/relationships/hyperlink" Target="https://www.ecfr.gov/current/title-24/subtitle-B/chapter-V/subchapter-C/part-578" TargetMode="External"/><Relationship Id="rId19" Type="http://schemas.openxmlformats.org/officeDocument/2006/relationships/hyperlink" Target="https://www.hudexchange.info/resource/6506/sage-hmis-reporting-repository-user-manual/" TargetMode="External"/><Relationship Id="rId4" Type="http://schemas.openxmlformats.org/officeDocument/2006/relationships/webSettings" Target="webSettings.xml"/><Relationship Id="rId9" Type="http://schemas.openxmlformats.org/officeDocument/2006/relationships/hyperlink" Target="https://www.hud.gov/sites/dfiles/CPD/documents/FY2024_FY2025_CoC_and_YHDP_NOFO_FR-6800-N-25.pdf" TargetMode="External"/><Relationship Id="rId14" Type="http://schemas.openxmlformats.org/officeDocument/2006/relationships/hyperlink" Target="https://www.ecfr.gov/current/title-2/subtitle-A/chapter-II/part-200/subpart-D/section-200.306" TargetMode="External"/><Relationship Id="rId22" Type="http://schemas.openxmlformats.org/officeDocument/2006/relationships/hyperlink" Target="https://www.hudoig.gov/hotline/hotline-for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9263</Characters>
  <Application>Microsoft Office Word</Application>
  <DocSecurity>4</DocSecurity>
  <Lines>77</Lines>
  <Paragraphs>21</Paragraphs>
  <ScaleCrop>false</ScaleCrop>
  <Company>U.S. Department of Housing and Urban Development</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Mrzygut, Lisa B</dc:creator>
  <cp:keywords/>
  <dc:description/>
  <cp:lastModifiedBy>Tree Clemonds</cp:lastModifiedBy>
  <cp:revision>2</cp:revision>
  <dcterms:created xsi:type="dcterms:W3CDTF">2025-03-24T18:23:00Z</dcterms:created>
  <dcterms:modified xsi:type="dcterms:W3CDTF">2025-03-24T18:23:00Z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170ae17c4cd16579936111068009860d93da812a812449ec7faffc67163fcb49</vt:lpwstr>
  </property>
</Properties>
</file>